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B49C" w14:textId="77777777" w:rsidR="00ED0BD0" w:rsidRDefault="00ED0BD0" w:rsidP="00574899">
      <w:pPr>
        <w:rPr>
          <w:rFonts w:cs="Arial"/>
          <w:szCs w:val="24"/>
        </w:rPr>
      </w:pPr>
    </w:p>
    <w:p w14:paraId="15F9B49D" w14:textId="77777777" w:rsidR="00ED0BD0" w:rsidRDefault="00ED0BD0" w:rsidP="0050716E">
      <w:pPr>
        <w:tabs>
          <w:tab w:val="left" w:pos="1162"/>
        </w:tabs>
        <w:ind w:left="1162" w:hanging="1162"/>
        <w:rPr>
          <w:rFonts w:cs="Arial"/>
          <w:szCs w:val="24"/>
        </w:rPr>
      </w:pPr>
    </w:p>
    <w:p w14:paraId="15F9B49E" w14:textId="2A648D47" w:rsidR="00ED0BD0" w:rsidRDefault="00DC36EE" w:rsidP="00DC36EE">
      <w:pPr>
        <w:tabs>
          <w:tab w:val="left" w:pos="4675"/>
        </w:tabs>
        <w:ind w:left="1162" w:hanging="1162"/>
        <w:rPr>
          <w:rFonts w:cs="Arial"/>
          <w:szCs w:val="24"/>
        </w:rPr>
      </w:pPr>
      <w:r>
        <w:rPr>
          <w:rFonts w:cs="Arial"/>
          <w:szCs w:val="24"/>
        </w:rPr>
        <w:tab/>
      </w:r>
    </w:p>
    <w:p w14:paraId="15F9B49F" w14:textId="6E8CB26F" w:rsidR="00ED0BD0" w:rsidRDefault="00ED0BD0" w:rsidP="0050716E">
      <w:pPr>
        <w:tabs>
          <w:tab w:val="left" w:pos="1162"/>
        </w:tabs>
        <w:ind w:left="1162" w:hanging="1162"/>
        <w:rPr>
          <w:rFonts w:cs="Arial"/>
          <w:szCs w:val="24"/>
        </w:rPr>
      </w:pPr>
    </w:p>
    <w:p w14:paraId="15F9B4A0" w14:textId="77777777" w:rsidR="00ED0BD0" w:rsidRDefault="00ED0BD0" w:rsidP="0050716E">
      <w:pPr>
        <w:tabs>
          <w:tab w:val="left" w:pos="1162"/>
        </w:tabs>
        <w:ind w:left="1162" w:hanging="1162"/>
        <w:rPr>
          <w:rFonts w:cs="Arial"/>
          <w:szCs w:val="24"/>
        </w:rPr>
      </w:pPr>
    </w:p>
    <w:p w14:paraId="15F9B4A9" w14:textId="77777777" w:rsidR="00ED0BD0" w:rsidRDefault="00ED0BD0" w:rsidP="00C611FB">
      <w:pPr>
        <w:tabs>
          <w:tab w:val="left" w:pos="1162"/>
        </w:tabs>
        <w:rPr>
          <w:rFonts w:cs="Arial"/>
          <w:szCs w:val="24"/>
        </w:rPr>
      </w:pPr>
    </w:p>
    <w:p w14:paraId="15F9B4AA" w14:textId="77777777" w:rsidR="00ED0BD0" w:rsidRDefault="00ED0BD0" w:rsidP="0050716E">
      <w:pPr>
        <w:tabs>
          <w:tab w:val="left" w:pos="1162"/>
        </w:tabs>
        <w:ind w:left="1162" w:hanging="1162"/>
        <w:rPr>
          <w:rFonts w:cs="Arial"/>
          <w:szCs w:val="24"/>
        </w:rPr>
      </w:pPr>
    </w:p>
    <w:p w14:paraId="15F9B4AB" w14:textId="77777777" w:rsidR="00ED0BD0" w:rsidRPr="008A0D24" w:rsidRDefault="00A36A25" w:rsidP="0050716E">
      <w:pPr>
        <w:tabs>
          <w:tab w:val="left" w:pos="1162"/>
        </w:tabs>
        <w:ind w:left="1162" w:hanging="1162"/>
        <w:jc w:val="center"/>
        <w:rPr>
          <w:rFonts w:cs="Arial"/>
          <w:b/>
          <w:sz w:val="32"/>
          <w:szCs w:val="32"/>
        </w:rPr>
      </w:pPr>
      <w:r>
        <w:rPr>
          <w:rFonts w:cs="Arial"/>
          <w:b/>
          <w:sz w:val="32"/>
          <w:szCs w:val="32"/>
        </w:rPr>
        <w:t>Security Management Policy</w:t>
      </w:r>
    </w:p>
    <w:p w14:paraId="15F9B4AC" w14:textId="77777777" w:rsidR="00ED0BD0" w:rsidRPr="0088232E" w:rsidRDefault="00ED0BD0" w:rsidP="0050716E">
      <w:pPr>
        <w:tabs>
          <w:tab w:val="left" w:pos="1162"/>
        </w:tabs>
        <w:ind w:left="1162" w:hanging="1162"/>
        <w:rPr>
          <w:rFonts w:cs="Arial"/>
          <w:szCs w:val="24"/>
        </w:rPr>
      </w:pPr>
    </w:p>
    <w:p w14:paraId="15F9B4AD" w14:textId="77777777" w:rsidR="00ED0BD0" w:rsidRPr="0088232E" w:rsidRDefault="00ED0BD0" w:rsidP="0050716E">
      <w:pPr>
        <w:tabs>
          <w:tab w:val="left" w:pos="1162"/>
        </w:tabs>
        <w:ind w:left="1162" w:hanging="1162"/>
        <w:rPr>
          <w:rFonts w:cs="Arial"/>
          <w:szCs w:val="24"/>
        </w:rPr>
      </w:pPr>
    </w:p>
    <w:p w14:paraId="7929CC8B" w14:textId="77777777" w:rsidR="00C9471F" w:rsidRDefault="00C9471F" w:rsidP="00C9471F">
      <w:pPr>
        <w:rPr>
          <w:rFonts w:cs="Arial"/>
          <w:szCs w:val="24"/>
        </w:rPr>
      </w:pPr>
    </w:p>
    <w:p w14:paraId="50F6C48D" w14:textId="77777777" w:rsidR="006925D7" w:rsidRDefault="006925D7" w:rsidP="00C9471F">
      <w:pPr>
        <w:rPr>
          <w:rFonts w:cs="Arial"/>
          <w:szCs w:val="24"/>
        </w:rPr>
      </w:pPr>
    </w:p>
    <w:p w14:paraId="7ED54234" w14:textId="77777777" w:rsidR="006925D7" w:rsidRPr="0088232E" w:rsidRDefault="006925D7" w:rsidP="00C9471F">
      <w:pPr>
        <w:rPr>
          <w:rFonts w:cs="Arial"/>
          <w:szCs w:val="24"/>
        </w:rPr>
      </w:pPr>
    </w:p>
    <w:p w14:paraId="4F6CD6D1" w14:textId="77777777" w:rsidR="006925D7" w:rsidRDefault="006925D7" w:rsidP="006925D7">
      <w:pPr>
        <w:rPr>
          <w:rFonts w:cs="Arial"/>
          <w:bCs/>
          <w:szCs w:val="24"/>
        </w:rPr>
      </w:pPr>
      <w:r>
        <w:rPr>
          <w:rFonts w:cs="Arial"/>
          <w:bCs/>
          <w:szCs w:val="28"/>
        </w:rPr>
        <w:br w:type="page"/>
      </w:r>
    </w:p>
    <w:p w14:paraId="15F9B4DD" w14:textId="77777777" w:rsidR="00574899" w:rsidRDefault="00574899" w:rsidP="00ED0BD0">
      <w:pPr>
        <w:rPr>
          <w:rFonts w:cs="Arial"/>
          <w:b/>
          <w:szCs w:val="24"/>
        </w:rPr>
        <w:sectPr w:rsidR="00574899" w:rsidSect="008C0DD5">
          <w:headerReference w:type="default" r:id="rId11"/>
          <w:footerReference w:type="default" r:id="rId12"/>
          <w:headerReference w:type="first" r:id="rId13"/>
          <w:pgSz w:w="11906" w:h="16838" w:code="9"/>
          <w:pgMar w:top="1440" w:right="1797" w:bottom="1440" w:left="1797" w:header="709" w:footer="709" w:gutter="0"/>
          <w:cols w:space="708"/>
          <w:titlePg/>
          <w:docGrid w:linePitch="360"/>
        </w:sectPr>
      </w:pPr>
    </w:p>
    <w:sdt>
      <w:sdtPr>
        <w:rPr>
          <w:rFonts w:ascii="Arial" w:eastAsia="Times New Roman" w:hAnsi="Arial" w:cs="Times New Roman"/>
          <w:color w:val="auto"/>
          <w:sz w:val="24"/>
          <w:szCs w:val="20"/>
          <w:lang w:val="en-GB"/>
        </w:rPr>
        <w:id w:val="-685450283"/>
        <w:docPartObj>
          <w:docPartGallery w:val="Table of Contents"/>
          <w:docPartUnique/>
        </w:docPartObj>
      </w:sdtPr>
      <w:sdtEndPr>
        <w:rPr>
          <w:b/>
          <w:bCs/>
          <w:noProof/>
          <w:szCs w:val="24"/>
        </w:rPr>
      </w:sdtEndPr>
      <w:sdtContent>
        <w:p w14:paraId="714B5B98" w14:textId="350DC02E" w:rsidR="00805519" w:rsidRDefault="00805519">
          <w:pPr>
            <w:pStyle w:val="TOCHeading"/>
          </w:pPr>
          <w:r>
            <w:t>Contents</w:t>
          </w:r>
        </w:p>
        <w:p w14:paraId="4F09738D" w14:textId="6CE9150E" w:rsidR="00533B15" w:rsidRDefault="00805519">
          <w:pPr>
            <w:pStyle w:val="TOC1"/>
            <w:rPr>
              <w:rFonts w:asciiTheme="minorHAnsi" w:eastAsiaTheme="minorEastAsia" w:hAnsiTheme="minorHAnsi" w:cstheme="minorBidi"/>
              <w:bCs w:val="0"/>
              <w:sz w:val="22"/>
              <w:szCs w:val="22"/>
              <w:lang w:eastAsia="en-GB"/>
            </w:rPr>
          </w:pPr>
          <w:r>
            <w:fldChar w:fldCharType="begin"/>
          </w:r>
          <w:r>
            <w:instrText xml:space="preserve"> TOC \o "1-3" \h \z \u </w:instrText>
          </w:r>
          <w:r>
            <w:fldChar w:fldCharType="separate"/>
          </w:r>
          <w:hyperlink w:anchor="_Toc141096321" w:history="1">
            <w:r w:rsidR="00533B15" w:rsidRPr="004745F9">
              <w:rPr>
                <w:rStyle w:val="Hyperlink"/>
              </w:rPr>
              <w:t>1.</w:t>
            </w:r>
            <w:r w:rsidR="00533B15">
              <w:rPr>
                <w:rFonts w:asciiTheme="minorHAnsi" w:eastAsiaTheme="minorEastAsia" w:hAnsiTheme="minorHAnsi" w:cstheme="minorBidi"/>
                <w:bCs w:val="0"/>
                <w:sz w:val="22"/>
                <w:szCs w:val="22"/>
                <w:lang w:eastAsia="en-GB"/>
              </w:rPr>
              <w:tab/>
            </w:r>
            <w:r w:rsidR="00533B15" w:rsidRPr="004745F9">
              <w:rPr>
                <w:rStyle w:val="Hyperlink"/>
              </w:rPr>
              <w:t>Statement of Aims and Objectives</w:t>
            </w:r>
            <w:r w:rsidR="00533B15">
              <w:rPr>
                <w:webHidden/>
              </w:rPr>
              <w:tab/>
            </w:r>
            <w:r w:rsidR="00533B15">
              <w:rPr>
                <w:webHidden/>
              </w:rPr>
              <w:fldChar w:fldCharType="begin"/>
            </w:r>
            <w:r w:rsidR="00533B15">
              <w:rPr>
                <w:webHidden/>
              </w:rPr>
              <w:instrText xml:space="preserve"> PAGEREF _Toc141096321 \h </w:instrText>
            </w:r>
            <w:r w:rsidR="00533B15">
              <w:rPr>
                <w:webHidden/>
              </w:rPr>
            </w:r>
            <w:r w:rsidR="00533B15">
              <w:rPr>
                <w:webHidden/>
              </w:rPr>
              <w:fldChar w:fldCharType="separate"/>
            </w:r>
            <w:r w:rsidR="00533B15">
              <w:rPr>
                <w:webHidden/>
              </w:rPr>
              <w:t>5</w:t>
            </w:r>
            <w:r w:rsidR="00533B15">
              <w:rPr>
                <w:webHidden/>
              </w:rPr>
              <w:fldChar w:fldCharType="end"/>
            </w:r>
          </w:hyperlink>
        </w:p>
        <w:p w14:paraId="38A2C044" w14:textId="300998A9" w:rsidR="00533B15" w:rsidRDefault="00533B15">
          <w:pPr>
            <w:pStyle w:val="TOC1"/>
            <w:rPr>
              <w:rFonts w:asciiTheme="minorHAnsi" w:eastAsiaTheme="minorEastAsia" w:hAnsiTheme="minorHAnsi" w:cstheme="minorBidi"/>
              <w:bCs w:val="0"/>
              <w:sz w:val="22"/>
              <w:szCs w:val="22"/>
              <w:lang w:eastAsia="en-GB"/>
            </w:rPr>
          </w:pPr>
          <w:hyperlink w:anchor="_Toc141096322" w:history="1">
            <w:r w:rsidRPr="004745F9">
              <w:rPr>
                <w:rStyle w:val="Hyperlink"/>
                <w:rFonts w:ascii="Arial Bold" w:hAnsi="Arial Bold" w:cs="Times New Roman"/>
              </w:rPr>
              <w:t>2.</w:t>
            </w:r>
            <w:r>
              <w:rPr>
                <w:rFonts w:asciiTheme="minorHAnsi" w:eastAsiaTheme="minorEastAsia" w:hAnsiTheme="minorHAnsi" w:cstheme="minorBidi"/>
                <w:bCs w:val="0"/>
                <w:sz w:val="22"/>
                <w:szCs w:val="22"/>
                <w:lang w:eastAsia="en-GB"/>
              </w:rPr>
              <w:tab/>
            </w:r>
            <w:r w:rsidRPr="004745F9">
              <w:rPr>
                <w:rStyle w:val="Hyperlink"/>
              </w:rPr>
              <w:t>Principles</w:t>
            </w:r>
            <w:r>
              <w:rPr>
                <w:webHidden/>
              </w:rPr>
              <w:tab/>
            </w:r>
            <w:r>
              <w:rPr>
                <w:webHidden/>
              </w:rPr>
              <w:fldChar w:fldCharType="begin"/>
            </w:r>
            <w:r>
              <w:rPr>
                <w:webHidden/>
              </w:rPr>
              <w:instrText xml:space="preserve"> PAGEREF _Toc141096322 \h </w:instrText>
            </w:r>
            <w:r>
              <w:rPr>
                <w:webHidden/>
              </w:rPr>
            </w:r>
            <w:r>
              <w:rPr>
                <w:webHidden/>
              </w:rPr>
              <w:fldChar w:fldCharType="separate"/>
            </w:r>
            <w:r>
              <w:rPr>
                <w:webHidden/>
              </w:rPr>
              <w:t>6</w:t>
            </w:r>
            <w:r>
              <w:rPr>
                <w:webHidden/>
              </w:rPr>
              <w:fldChar w:fldCharType="end"/>
            </w:r>
          </w:hyperlink>
        </w:p>
        <w:p w14:paraId="56B6B496" w14:textId="7332A8F0" w:rsidR="00533B15" w:rsidRDefault="00533B15">
          <w:pPr>
            <w:pStyle w:val="TOC1"/>
            <w:rPr>
              <w:rFonts w:asciiTheme="minorHAnsi" w:eastAsiaTheme="minorEastAsia" w:hAnsiTheme="minorHAnsi" w:cstheme="minorBidi"/>
              <w:bCs w:val="0"/>
              <w:sz w:val="22"/>
              <w:szCs w:val="22"/>
              <w:lang w:eastAsia="en-GB"/>
            </w:rPr>
          </w:pPr>
          <w:hyperlink w:anchor="_Toc141096323" w:history="1">
            <w:r w:rsidRPr="004745F9">
              <w:rPr>
                <w:rStyle w:val="Hyperlink"/>
                <w:rFonts w:ascii="Arial Bold" w:hAnsi="Arial Bold"/>
              </w:rPr>
              <w:t>3.</w:t>
            </w:r>
            <w:r>
              <w:rPr>
                <w:rFonts w:asciiTheme="minorHAnsi" w:eastAsiaTheme="minorEastAsia" w:hAnsiTheme="minorHAnsi" w:cstheme="minorBidi"/>
                <w:bCs w:val="0"/>
                <w:sz w:val="22"/>
                <w:szCs w:val="22"/>
                <w:lang w:eastAsia="en-GB"/>
              </w:rPr>
              <w:tab/>
            </w:r>
            <w:r w:rsidRPr="004745F9">
              <w:rPr>
                <w:rStyle w:val="Hyperlink"/>
              </w:rPr>
              <w:t>Management of incidents of theft or criminal damage.</w:t>
            </w:r>
            <w:r>
              <w:rPr>
                <w:webHidden/>
              </w:rPr>
              <w:tab/>
            </w:r>
            <w:r>
              <w:rPr>
                <w:webHidden/>
              </w:rPr>
              <w:fldChar w:fldCharType="begin"/>
            </w:r>
            <w:r>
              <w:rPr>
                <w:webHidden/>
              </w:rPr>
              <w:instrText xml:space="preserve"> PAGEREF _Toc141096323 \h </w:instrText>
            </w:r>
            <w:r>
              <w:rPr>
                <w:webHidden/>
              </w:rPr>
            </w:r>
            <w:r>
              <w:rPr>
                <w:webHidden/>
              </w:rPr>
              <w:fldChar w:fldCharType="separate"/>
            </w:r>
            <w:r>
              <w:rPr>
                <w:webHidden/>
              </w:rPr>
              <w:t>10</w:t>
            </w:r>
            <w:r>
              <w:rPr>
                <w:webHidden/>
              </w:rPr>
              <w:fldChar w:fldCharType="end"/>
            </w:r>
          </w:hyperlink>
        </w:p>
        <w:p w14:paraId="3A3ACE10" w14:textId="739DE3E0" w:rsidR="00533B15" w:rsidRDefault="00533B15">
          <w:pPr>
            <w:pStyle w:val="TOC1"/>
            <w:rPr>
              <w:rFonts w:asciiTheme="minorHAnsi" w:eastAsiaTheme="minorEastAsia" w:hAnsiTheme="minorHAnsi" w:cstheme="minorBidi"/>
              <w:bCs w:val="0"/>
              <w:sz w:val="22"/>
              <w:szCs w:val="22"/>
              <w:lang w:eastAsia="en-GB"/>
            </w:rPr>
          </w:pPr>
          <w:hyperlink w:anchor="_Toc141096324" w:history="1">
            <w:r w:rsidRPr="004745F9">
              <w:rPr>
                <w:rStyle w:val="Hyperlink"/>
                <w:rFonts w:ascii="Arial Bold" w:hAnsi="Arial Bold"/>
              </w:rPr>
              <w:t>4.</w:t>
            </w:r>
            <w:r>
              <w:rPr>
                <w:rFonts w:asciiTheme="minorHAnsi" w:eastAsiaTheme="minorEastAsia" w:hAnsiTheme="minorHAnsi" w:cstheme="minorBidi"/>
                <w:bCs w:val="0"/>
                <w:sz w:val="22"/>
                <w:szCs w:val="22"/>
                <w:lang w:eastAsia="en-GB"/>
              </w:rPr>
              <w:tab/>
            </w:r>
            <w:r w:rsidRPr="004745F9">
              <w:rPr>
                <w:rStyle w:val="Hyperlink"/>
              </w:rPr>
              <w:t>Definitions</w:t>
            </w:r>
            <w:r>
              <w:rPr>
                <w:webHidden/>
              </w:rPr>
              <w:tab/>
            </w:r>
            <w:r>
              <w:rPr>
                <w:webHidden/>
              </w:rPr>
              <w:fldChar w:fldCharType="begin"/>
            </w:r>
            <w:r>
              <w:rPr>
                <w:webHidden/>
              </w:rPr>
              <w:instrText xml:space="preserve"> PAGEREF _Toc141096324 \h </w:instrText>
            </w:r>
            <w:r>
              <w:rPr>
                <w:webHidden/>
              </w:rPr>
            </w:r>
            <w:r>
              <w:rPr>
                <w:webHidden/>
              </w:rPr>
              <w:fldChar w:fldCharType="separate"/>
            </w:r>
            <w:r>
              <w:rPr>
                <w:webHidden/>
              </w:rPr>
              <w:t>11</w:t>
            </w:r>
            <w:r>
              <w:rPr>
                <w:webHidden/>
              </w:rPr>
              <w:fldChar w:fldCharType="end"/>
            </w:r>
          </w:hyperlink>
        </w:p>
        <w:p w14:paraId="7D00010B" w14:textId="11D2E602" w:rsidR="00533B15" w:rsidRDefault="00533B15">
          <w:pPr>
            <w:pStyle w:val="TOC1"/>
            <w:rPr>
              <w:rFonts w:asciiTheme="minorHAnsi" w:eastAsiaTheme="minorEastAsia" w:hAnsiTheme="minorHAnsi" w:cstheme="minorBidi"/>
              <w:bCs w:val="0"/>
              <w:sz w:val="22"/>
              <w:szCs w:val="22"/>
              <w:lang w:eastAsia="en-GB"/>
            </w:rPr>
          </w:pPr>
          <w:hyperlink w:anchor="_Toc141096325" w:history="1">
            <w:r w:rsidRPr="004745F9">
              <w:rPr>
                <w:rStyle w:val="Hyperlink"/>
                <w:rFonts w:ascii="Arial Bold" w:hAnsi="Arial Bold"/>
              </w:rPr>
              <w:t>5.</w:t>
            </w:r>
            <w:r>
              <w:rPr>
                <w:rFonts w:asciiTheme="minorHAnsi" w:eastAsiaTheme="minorEastAsia" w:hAnsiTheme="minorHAnsi" w:cstheme="minorBidi"/>
                <w:bCs w:val="0"/>
                <w:sz w:val="22"/>
                <w:szCs w:val="22"/>
                <w:lang w:eastAsia="en-GB"/>
              </w:rPr>
              <w:tab/>
            </w:r>
            <w:r w:rsidRPr="004745F9">
              <w:rPr>
                <w:rStyle w:val="Hyperlink"/>
              </w:rPr>
              <w:t>Responsibilities</w:t>
            </w:r>
            <w:r>
              <w:rPr>
                <w:webHidden/>
              </w:rPr>
              <w:tab/>
            </w:r>
            <w:r>
              <w:rPr>
                <w:webHidden/>
              </w:rPr>
              <w:fldChar w:fldCharType="begin"/>
            </w:r>
            <w:r>
              <w:rPr>
                <w:webHidden/>
              </w:rPr>
              <w:instrText xml:space="preserve"> PAGEREF _Toc141096325 \h </w:instrText>
            </w:r>
            <w:r>
              <w:rPr>
                <w:webHidden/>
              </w:rPr>
            </w:r>
            <w:r>
              <w:rPr>
                <w:webHidden/>
              </w:rPr>
              <w:fldChar w:fldCharType="separate"/>
            </w:r>
            <w:r>
              <w:rPr>
                <w:webHidden/>
              </w:rPr>
              <w:t>12</w:t>
            </w:r>
            <w:r>
              <w:rPr>
                <w:webHidden/>
              </w:rPr>
              <w:fldChar w:fldCharType="end"/>
            </w:r>
          </w:hyperlink>
        </w:p>
        <w:p w14:paraId="0434FCE9" w14:textId="2B24A7FC" w:rsidR="00533B15" w:rsidRDefault="00533B15">
          <w:pPr>
            <w:pStyle w:val="TOC1"/>
            <w:rPr>
              <w:rFonts w:asciiTheme="minorHAnsi" w:eastAsiaTheme="minorEastAsia" w:hAnsiTheme="minorHAnsi" w:cstheme="minorBidi"/>
              <w:bCs w:val="0"/>
              <w:sz w:val="22"/>
              <w:szCs w:val="22"/>
              <w:lang w:eastAsia="en-GB"/>
            </w:rPr>
          </w:pPr>
          <w:hyperlink w:anchor="_Toc141096326" w:history="1">
            <w:r w:rsidRPr="004745F9">
              <w:rPr>
                <w:rStyle w:val="Hyperlink"/>
                <w:rFonts w:ascii="Arial Bold" w:hAnsi="Arial Bold"/>
              </w:rPr>
              <w:t>6.</w:t>
            </w:r>
            <w:r>
              <w:rPr>
                <w:rFonts w:asciiTheme="minorHAnsi" w:eastAsiaTheme="minorEastAsia" w:hAnsiTheme="minorHAnsi" w:cstheme="minorBidi"/>
                <w:bCs w:val="0"/>
                <w:sz w:val="22"/>
                <w:szCs w:val="22"/>
                <w:lang w:eastAsia="en-GB"/>
              </w:rPr>
              <w:tab/>
            </w:r>
            <w:r w:rsidRPr="004745F9">
              <w:rPr>
                <w:rStyle w:val="Hyperlink"/>
              </w:rPr>
              <w:t>Monitoring</w:t>
            </w:r>
            <w:r>
              <w:rPr>
                <w:webHidden/>
              </w:rPr>
              <w:tab/>
            </w:r>
            <w:r>
              <w:rPr>
                <w:webHidden/>
              </w:rPr>
              <w:fldChar w:fldCharType="begin"/>
            </w:r>
            <w:r>
              <w:rPr>
                <w:webHidden/>
              </w:rPr>
              <w:instrText xml:space="preserve"> PAGEREF _Toc141096326 \h </w:instrText>
            </w:r>
            <w:r>
              <w:rPr>
                <w:webHidden/>
              </w:rPr>
            </w:r>
            <w:r>
              <w:rPr>
                <w:webHidden/>
              </w:rPr>
              <w:fldChar w:fldCharType="separate"/>
            </w:r>
            <w:r>
              <w:rPr>
                <w:webHidden/>
              </w:rPr>
              <w:t>14</w:t>
            </w:r>
            <w:r>
              <w:rPr>
                <w:webHidden/>
              </w:rPr>
              <w:fldChar w:fldCharType="end"/>
            </w:r>
          </w:hyperlink>
        </w:p>
        <w:p w14:paraId="7FD71822" w14:textId="7FF0ADF6" w:rsidR="00533B15" w:rsidRDefault="00533B15">
          <w:pPr>
            <w:pStyle w:val="TOC1"/>
            <w:rPr>
              <w:rFonts w:asciiTheme="minorHAnsi" w:eastAsiaTheme="minorEastAsia" w:hAnsiTheme="minorHAnsi" w:cstheme="minorBidi"/>
              <w:bCs w:val="0"/>
              <w:sz w:val="22"/>
              <w:szCs w:val="22"/>
              <w:lang w:eastAsia="en-GB"/>
            </w:rPr>
          </w:pPr>
          <w:hyperlink w:anchor="_Toc141096327" w:history="1">
            <w:r w:rsidRPr="004745F9">
              <w:rPr>
                <w:rStyle w:val="Hyperlink"/>
                <w:rFonts w:ascii="Arial Bold" w:hAnsi="Arial Bold"/>
              </w:rPr>
              <w:t>7.</w:t>
            </w:r>
            <w:r>
              <w:rPr>
                <w:rFonts w:asciiTheme="minorHAnsi" w:eastAsiaTheme="minorEastAsia" w:hAnsiTheme="minorHAnsi" w:cstheme="minorBidi"/>
                <w:bCs w:val="0"/>
                <w:sz w:val="22"/>
                <w:szCs w:val="22"/>
                <w:lang w:eastAsia="en-GB"/>
              </w:rPr>
              <w:tab/>
            </w:r>
            <w:r w:rsidRPr="004745F9">
              <w:rPr>
                <w:rStyle w:val="Hyperlink"/>
              </w:rPr>
              <w:t>Audit and Review</w:t>
            </w:r>
            <w:r>
              <w:rPr>
                <w:webHidden/>
              </w:rPr>
              <w:tab/>
            </w:r>
            <w:r>
              <w:rPr>
                <w:webHidden/>
              </w:rPr>
              <w:fldChar w:fldCharType="begin"/>
            </w:r>
            <w:r>
              <w:rPr>
                <w:webHidden/>
              </w:rPr>
              <w:instrText xml:space="preserve"> PAGEREF _Toc141096327 \h </w:instrText>
            </w:r>
            <w:r>
              <w:rPr>
                <w:webHidden/>
              </w:rPr>
            </w:r>
            <w:r>
              <w:rPr>
                <w:webHidden/>
              </w:rPr>
              <w:fldChar w:fldCharType="separate"/>
            </w:r>
            <w:r>
              <w:rPr>
                <w:webHidden/>
              </w:rPr>
              <w:t>15</w:t>
            </w:r>
            <w:r>
              <w:rPr>
                <w:webHidden/>
              </w:rPr>
              <w:fldChar w:fldCharType="end"/>
            </w:r>
          </w:hyperlink>
        </w:p>
        <w:p w14:paraId="79C5D7F8" w14:textId="525B7820" w:rsidR="00533B15" w:rsidRDefault="00533B15">
          <w:pPr>
            <w:pStyle w:val="TOC1"/>
            <w:rPr>
              <w:rFonts w:asciiTheme="minorHAnsi" w:eastAsiaTheme="minorEastAsia" w:hAnsiTheme="minorHAnsi" w:cstheme="minorBidi"/>
              <w:bCs w:val="0"/>
              <w:sz w:val="22"/>
              <w:szCs w:val="22"/>
              <w:lang w:eastAsia="en-GB"/>
            </w:rPr>
          </w:pPr>
          <w:hyperlink w:anchor="_Toc141096328" w:history="1">
            <w:r w:rsidRPr="004745F9">
              <w:rPr>
                <w:rStyle w:val="Hyperlink"/>
                <w:rFonts w:ascii="Arial Bold" w:hAnsi="Arial Bold"/>
              </w:rPr>
              <w:t>8.</w:t>
            </w:r>
            <w:r>
              <w:rPr>
                <w:rFonts w:asciiTheme="minorHAnsi" w:eastAsiaTheme="minorEastAsia" w:hAnsiTheme="minorHAnsi" w:cstheme="minorBidi"/>
                <w:bCs w:val="0"/>
                <w:sz w:val="22"/>
                <w:szCs w:val="22"/>
                <w:lang w:eastAsia="en-GB"/>
              </w:rPr>
              <w:tab/>
            </w:r>
            <w:r w:rsidRPr="004745F9">
              <w:rPr>
                <w:rStyle w:val="Hyperlink"/>
              </w:rPr>
              <w:t>Associated Documentation</w:t>
            </w:r>
            <w:r>
              <w:rPr>
                <w:webHidden/>
              </w:rPr>
              <w:tab/>
            </w:r>
            <w:r>
              <w:rPr>
                <w:webHidden/>
              </w:rPr>
              <w:fldChar w:fldCharType="begin"/>
            </w:r>
            <w:r>
              <w:rPr>
                <w:webHidden/>
              </w:rPr>
              <w:instrText xml:space="preserve"> PAGEREF _Toc141096328 \h </w:instrText>
            </w:r>
            <w:r>
              <w:rPr>
                <w:webHidden/>
              </w:rPr>
            </w:r>
            <w:r>
              <w:rPr>
                <w:webHidden/>
              </w:rPr>
              <w:fldChar w:fldCharType="separate"/>
            </w:r>
            <w:r>
              <w:rPr>
                <w:webHidden/>
              </w:rPr>
              <w:t>16</w:t>
            </w:r>
            <w:r>
              <w:rPr>
                <w:webHidden/>
              </w:rPr>
              <w:fldChar w:fldCharType="end"/>
            </w:r>
          </w:hyperlink>
        </w:p>
        <w:p w14:paraId="35FB3C9B" w14:textId="27362106" w:rsidR="00533B15" w:rsidRDefault="00533B15">
          <w:pPr>
            <w:pStyle w:val="TOC1"/>
            <w:rPr>
              <w:rFonts w:asciiTheme="minorHAnsi" w:eastAsiaTheme="minorEastAsia" w:hAnsiTheme="minorHAnsi" w:cstheme="minorBidi"/>
              <w:bCs w:val="0"/>
              <w:sz w:val="22"/>
              <w:szCs w:val="22"/>
              <w:lang w:eastAsia="en-GB"/>
            </w:rPr>
          </w:pPr>
          <w:hyperlink w:anchor="_Toc141096329" w:history="1">
            <w:r w:rsidRPr="004745F9">
              <w:rPr>
                <w:rStyle w:val="Hyperlink"/>
              </w:rPr>
              <w:t>Equality Analysis</w:t>
            </w:r>
            <w:r>
              <w:rPr>
                <w:webHidden/>
              </w:rPr>
              <w:tab/>
            </w:r>
            <w:r>
              <w:rPr>
                <w:webHidden/>
              </w:rPr>
              <w:fldChar w:fldCharType="begin"/>
            </w:r>
            <w:r>
              <w:rPr>
                <w:webHidden/>
              </w:rPr>
              <w:instrText xml:space="preserve"> PAGEREF _Toc141096329 \h </w:instrText>
            </w:r>
            <w:r>
              <w:rPr>
                <w:webHidden/>
              </w:rPr>
            </w:r>
            <w:r>
              <w:rPr>
                <w:webHidden/>
              </w:rPr>
              <w:fldChar w:fldCharType="separate"/>
            </w:r>
            <w:r>
              <w:rPr>
                <w:webHidden/>
              </w:rPr>
              <w:t>16</w:t>
            </w:r>
            <w:r>
              <w:rPr>
                <w:webHidden/>
              </w:rPr>
              <w:fldChar w:fldCharType="end"/>
            </w:r>
          </w:hyperlink>
        </w:p>
        <w:p w14:paraId="0250D55D" w14:textId="0D60A358" w:rsidR="00533B15" w:rsidRDefault="00533B15">
          <w:pPr>
            <w:pStyle w:val="TOC1"/>
            <w:rPr>
              <w:rFonts w:asciiTheme="minorHAnsi" w:eastAsiaTheme="minorEastAsia" w:hAnsiTheme="minorHAnsi" w:cstheme="minorBidi"/>
              <w:bCs w:val="0"/>
              <w:sz w:val="22"/>
              <w:szCs w:val="22"/>
              <w:lang w:eastAsia="en-GB"/>
            </w:rPr>
          </w:pPr>
          <w:hyperlink w:anchor="_Toc141096330" w:history="1">
            <w:r w:rsidRPr="004745F9">
              <w:rPr>
                <w:rStyle w:val="Hyperlink"/>
                <w:rFonts w:ascii="Arial Bold" w:hAnsi="Arial Bold"/>
              </w:rPr>
              <w:t>9.</w:t>
            </w:r>
            <w:r>
              <w:rPr>
                <w:rFonts w:asciiTheme="minorHAnsi" w:eastAsiaTheme="minorEastAsia" w:hAnsiTheme="minorHAnsi" w:cstheme="minorBidi"/>
                <w:bCs w:val="0"/>
                <w:sz w:val="22"/>
                <w:szCs w:val="22"/>
                <w:lang w:eastAsia="en-GB"/>
              </w:rPr>
              <w:tab/>
            </w:r>
            <w:r w:rsidRPr="004745F9">
              <w:rPr>
                <w:rStyle w:val="Hyperlink"/>
              </w:rPr>
              <w:t>References</w:t>
            </w:r>
            <w:r>
              <w:rPr>
                <w:webHidden/>
              </w:rPr>
              <w:tab/>
            </w:r>
            <w:r>
              <w:rPr>
                <w:webHidden/>
              </w:rPr>
              <w:fldChar w:fldCharType="begin"/>
            </w:r>
            <w:r>
              <w:rPr>
                <w:webHidden/>
              </w:rPr>
              <w:instrText xml:space="preserve"> PAGEREF _Toc141096330 \h </w:instrText>
            </w:r>
            <w:r>
              <w:rPr>
                <w:webHidden/>
              </w:rPr>
            </w:r>
            <w:r>
              <w:rPr>
                <w:webHidden/>
              </w:rPr>
              <w:fldChar w:fldCharType="separate"/>
            </w:r>
            <w:r>
              <w:rPr>
                <w:webHidden/>
              </w:rPr>
              <w:t>17</w:t>
            </w:r>
            <w:r>
              <w:rPr>
                <w:webHidden/>
              </w:rPr>
              <w:fldChar w:fldCharType="end"/>
            </w:r>
          </w:hyperlink>
        </w:p>
        <w:p w14:paraId="7305D598" w14:textId="7215F619" w:rsidR="00805519" w:rsidRDefault="00805519">
          <w:r>
            <w:rPr>
              <w:b/>
              <w:bCs/>
              <w:noProof/>
            </w:rPr>
            <w:fldChar w:fldCharType="end"/>
          </w:r>
        </w:p>
      </w:sdtContent>
    </w:sdt>
    <w:p w14:paraId="15F9B4F1" w14:textId="1A3287FC" w:rsidR="00ED0BD0" w:rsidRPr="00805519" w:rsidRDefault="00ED0BD0" w:rsidP="00805519">
      <w:pPr>
        <w:rPr>
          <w:rFonts w:cs="Arial"/>
          <w:b/>
          <w:szCs w:val="24"/>
        </w:rPr>
      </w:pPr>
    </w:p>
    <w:p w14:paraId="15F9B4F2" w14:textId="77777777" w:rsidR="00ED0BD0" w:rsidRPr="00C4316D" w:rsidRDefault="00ED0BD0" w:rsidP="00ED0BD0">
      <w:pPr>
        <w:tabs>
          <w:tab w:val="left" w:pos="720"/>
        </w:tabs>
        <w:rPr>
          <w:rFonts w:cs="Arial"/>
          <w:b/>
          <w:bCs/>
          <w:caps/>
        </w:rPr>
      </w:pPr>
      <w:r>
        <w:rPr>
          <w:rFonts w:cs="Arial"/>
          <w:b/>
          <w:bCs/>
          <w:sz w:val="32"/>
          <w:szCs w:val="32"/>
        </w:rPr>
        <w:br w:type="page"/>
      </w:r>
    </w:p>
    <w:p w14:paraId="649DF4F3" w14:textId="77777777" w:rsidR="00281589" w:rsidRPr="00281589" w:rsidRDefault="00574899" w:rsidP="00805519">
      <w:pPr>
        <w:pStyle w:val="Heading1"/>
        <w:numPr>
          <w:ilvl w:val="0"/>
          <w:numId w:val="22"/>
        </w:numPr>
      </w:pPr>
      <w:bookmarkStart w:id="0" w:name="_Toc416437180"/>
      <w:bookmarkStart w:id="1" w:name="_Toc141096321"/>
      <w:bookmarkStart w:id="2" w:name="_Toc136170337"/>
      <w:r w:rsidRPr="00281589">
        <w:lastRenderedPageBreak/>
        <w:t>Statement of Aims and Objectives</w:t>
      </w:r>
      <w:bookmarkEnd w:id="0"/>
      <w:bookmarkEnd w:id="1"/>
    </w:p>
    <w:p w14:paraId="7AC9586C" w14:textId="77777777" w:rsidR="00281589" w:rsidRDefault="00281589" w:rsidP="00343828"/>
    <w:p w14:paraId="59041F00" w14:textId="4650B37F" w:rsidR="00281589" w:rsidRDefault="007B0FEB" w:rsidP="00805519">
      <w:pPr>
        <w:pStyle w:val="PolLevel2"/>
      </w:pPr>
      <w:proofErr w:type="gramStart"/>
      <w:r w:rsidRPr="000846E7">
        <w:t>South East</w:t>
      </w:r>
      <w:proofErr w:type="gramEnd"/>
      <w:r w:rsidRPr="000846E7">
        <w:t xml:space="preserve"> Coast Ambulance Service NHS Trust (the Trust) is committed to ensuring, as far as is reasonably practicable, the health, safety and welfare of employees, including contractors and volunteers; of patients, their families and carers; and of those affected by Trust actions.</w:t>
      </w:r>
      <w:r w:rsidR="00197F93">
        <w:t xml:space="preserve"> </w:t>
      </w:r>
      <w:r w:rsidR="0074603C">
        <w:t xml:space="preserve">This document </w:t>
      </w:r>
      <w:r w:rsidR="0094437E">
        <w:t>aligns to the NHS Violence Reduction Standards</w:t>
      </w:r>
      <w:r w:rsidR="003A7433">
        <w:t>,</w:t>
      </w:r>
      <w:r w:rsidR="008772B0">
        <w:t xml:space="preserve"> </w:t>
      </w:r>
      <w:proofErr w:type="gramStart"/>
      <w:r w:rsidR="00F52C74">
        <w:t>South East</w:t>
      </w:r>
      <w:proofErr w:type="gramEnd"/>
      <w:r w:rsidR="00F52C74">
        <w:t xml:space="preserve"> Coast Ambulance Violence </w:t>
      </w:r>
      <w:r w:rsidR="003A7433">
        <w:t xml:space="preserve">Prevention and Reduction </w:t>
      </w:r>
      <w:r w:rsidR="00F52C74">
        <w:t>st</w:t>
      </w:r>
      <w:r w:rsidR="00A05AE7">
        <w:t>rategy</w:t>
      </w:r>
      <w:r w:rsidR="008772B0">
        <w:t xml:space="preserve"> and procedur</w:t>
      </w:r>
      <w:r w:rsidR="008B6F22">
        <w:t>al</w:t>
      </w:r>
      <w:r w:rsidR="008772B0">
        <w:t xml:space="preserve"> documents. </w:t>
      </w:r>
      <w:r w:rsidR="00C26861">
        <w:t xml:space="preserve">The </w:t>
      </w:r>
      <w:r w:rsidR="00CC6D37">
        <w:t>T</w:t>
      </w:r>
      <w:r w:rsidR="00C26861">
        <w:t xml:space="preserve">rust takes a public health, trauma informed approach </w:t>
      </w:r>
      <w:r w:rsidR="002E2B12">
        <w:t>to supporting staff affected by violence or aggression.</w:t>
      </w:r>
    </w:p>
    <w:p w14:paraId="6A5AB12D" w14:textId="77777777" w:rsidR="00281589" w:rsidRDefault="00281589" w:rsidP="00343828"/>
    <w:p w14:paraId="33711CED" w14:textId="0E26320C" w:rsidR="00F5746A" w:rsidRDefault="00C13D65" w:rsidP="00805519">
      <w:pPr>
        <w:pStyle w:val="PolLevel2"/>
      </w:pPr>
      <w:r w:rsidRPr="000846E7">
        <w:t xml:space="preserve">The overriding principle of this policy is </w:t>
      </w:r>
      <w:r w:rsidR="005813DD" w:rsidRPr="000846E7">
        <w:t>to detail the provisions, and requirements to enable security management to provide associated specialist services for the Trust, to protect staff and assets from criminality and to deliver a secure service for those who operate for the Trust and for the people we serve. Through development of systems and processes, the Trust will provide suitable security arrangements as far as practicably possible, to work towards this principle.</w:t>
      </w:r>
    </w:p>
    <w:p w14:paraId="730E6DBA" w14:textId="77777777" w:rsidR="00F5746A" w:rsidRDefault="00F5746A" w:rsidP="00343828"/>
    <w:p w14:paraId="30E8E403" w14:textId="156F8A04" w:rsidR="00F5746A" w:rsidRDefault="005813DD" w:rsidP="00805519">
      <w:pPr>
        <w:pStyle w:val="PolLevel2"/>
      </w:pPr>
      <w:r w:rsidRPr="000846E7">
        <w:t>The Policy will also detail the responsibilities of management and staff for their security, their colleagues</w:t>
      </w:r>
      <w:r w:rsidR="006F46CB">
        <w:t>’</w:t>
      </w:r>
      <w:r w:rsidRPr="000846E7">
        <w:t xml:space="preserve"> </w:t>
      </w:r>
      <w:r w:rsidR="002E2B12" w:rsidRPr="000846E7">
        <w:t>security,</w:t>
      </w:r>
      <w:r w:rsidRPr="000846E7">
        <w:t xml:space="preserve"> and the people we serve.</w:t>
      </w:r>
    </w:p>
    <w:p w14:paraId="5AE6A2DB" w14:textId="77777777" w:rsidR="00F5746A" w:rsidRDefault="00F5746A" w:rsidP="00343828"/>
    <w:p w14:paraId="0910CFD2" w14:textId="71801D08" w:rsidR="003B1DBF" w:rsidRDefault="005813DD" w:rsidP="00805519">
      <w:pPr>
        <w:pStyle w:val="PolLevel2"/>
      </w:pPr>
      <w:r w:rsidRPr="000846E7">
        <w:t>In the event an incident could not be avoided, for any security related incident, such as violence and aggression, theft, criminal damage etc. the Trust, where possible, will pursue sanction and redress.</w:t>
      </w:r>
      <w:bookmarkEnd w:id="2"/>
    </w:p>
    <w:p w14:paraId="7FE55F26" w14:textId="77777777" w:rsidR="003B1DBF" w:rsidRDefault="003B1DBF" w:rsidP="00343828"/>
    <w:p w14:paraId="63265056" w14:textId="77777777" w:rsidR="003B1DBF" w:rsidRDefault="00CE5E19" w:rsidP="00805519">
      <w:pPr>
        <w:pStyle w:val="PolLevel2"/>
      </w:pPr>
      <w:r w:rsidRPr="000846E7">
        <w:t xml:space="preserve">Security of </w:t>
      </w:r>
      <w:r w:rsidR="005813DD" w:rsidRPr="000846E7">
        <w:t xml:space="preserve">operatives for the Trust </w:t>
      </w:r>
      <w:r w:rsidRPr="000846E7">
        <w:t>is particularly emphasised in relation to those likely to be exposed to incidents of physical and non-physical assault. It is recognised that this is not exclusive to front line operational staff</w:t>
      </w:r>
      <w:r w:rsidR="002504C0" w:rsidRPr="000846E7">
        <w:t>,</w:t>
      </w:r>
      <w:r w:rsidRPr="000846E7">
        <w:t xml:space="preserve"> but could affect anyone such as delivery drivers, receptionists and those working in the </w:t>
      </w:r>
      <w:r w:rsidR="00E10C3A">
        <w:t xml:space="preserve">Call Handling Centres </w:t>
      </w:r>
      <w:r w:rsidRPr="000846E7">
        <w:t>(E</w:t>
      </w:r>
      <w:r w:rsidR="002504C0" w:rsidRPr="000846E7">
        <w:t>O</w:t>
      </w:r>
      <w:r w:rsidRPr="000846E7">
        <w:t>C</w:t>
      </w:r>
      <w:r w:rsidR="002504C0" w:rsidRPr="000846E7">
        <w:t>s</w:t>
      </w:r>
      <w:r w:rsidR="00E10C3A">
        <w:t xml:space="preserve"> / 111</w:t>
      </w:r>
      <w:r w:rsidRPr="000846E7">
        <w:t>) who may be the victim of verbal abuse and aggression</w:t>
      </w:r>
      <w:r w:rsidR="005813DD" w:rsidRPr="000846E7">
        <w:t xml:space="preserve">. </w:t>
      </w:r>
    </w:p>
    <w:p w14:paraId="59625FFF" w14:textId="77777777" w:rsidR="00F5746A" w:rsidRDefault="00F5746A" w:rsidP="00343828"/>
    <w:p w14:paraId="758F861D" w14:textId="61CB900E" w:rsidR="003B1DBF" w:rsidRDefault="005813DD" w:rsidP="00805519">
      <w:pPr>
        <w:pStyle w:val="PolLevel2"/>
      </w:pPr>
      <w:r w:rsidRPr="000846E7">
        <w:t xml:space="preserve">The Trust recognises its obligations to the security of staff in line with the </w:t>
      </w:r>
      <w:r w:rsidR="006811AD" w:rsidRPr="00805519">
        <w:rPr>
          <w:lang w:val="en"/>
        </w:rPr>
        <w:t>Assaults on Emergency Workers (Offences) Act 2018</w:t>
      </w:r>
      <w:r w:rsidR="008C3FDE" w:rsidRPr="00805519">
        <w:rPr>
          <w:lang w:val="en"/>
        </w:rPr>
        <w:t xml:space="preserve">, </w:t>
      </w:r>
      <w:r w:rsidR="008C3FDE" w:rsidRPr="000846E7">
        <w:t xml:space="preserve">Investigatory Powers Act 2016 along with supporting operatives as the victims of criminal offences by those external of the Trust. Legislation is underpinned </w:t>
      </w:r>
      <w:r w:rsidR="003B1DBF" w:rsidRPr="000846E7">
        <w:t>by</w:t>
      </w:r>
      <w:r w:rsidR="008C3FDE" w:rsidRPr="000846E7">
        <w:t xml:space="preserve"> the </w:t>
      </w:r>
      <w:r w:rsidR="00A8169A">
        <w:t>NHS N</w:t>
      </w:r>
      <w:r w:rsidR="008C3FDE" w:rsidRPr="000846E7">
        <w:t>ational Violence Reduction St</w:t>
      </w:r>
      <w:r w:rsidR="000369A6">
        <w:t>andard</w:t>
      </w:r>
      <w:r w:rsidR="008C3FDE" w:rsidRPr="000846E7">
        <w:t xml:space="preserve"> to support the work for the security of operatives, patients and Trust assets</w:t>
      </w:r>
      <w:r w:rsidR="006811AD">
        <w:t>.</w:t>
      </w:r>
    </w:p>
    <w:p w14:paraId="41FEC894" w14:textId="77777777" w:rsidR="003B1DBF" w:rsidRDefault="003B1DBF" w:rsidP="00343828"/>
    <w:p w14:paraId="2A86F6B8" w14:textId="1E190C6F" w:rsidR="003B1DBF" w:rsidRDefault="00CE5E19" w:rsidP="00533B15">
      <w:pPr>
        <w:pStyle w:val="PolLevel2"/>
      </w:pPr>
      <w:r w:rsidRPr="00805519">
        <w:rPr>
          <w:b/>
          <w:bCs/>
        </w:rPr>
        <w:t>Security of Assets</w:t>
      </w:r>
      <w:r w:rsidR="002504C0" w:rsidRPr="00805519">
        <w:rPr>
          <w:b/>
          <w:bCs/>
        </w:rPr>
        <w:t>:</w:t>
      </w:r>
      <w:r w:rsidR="002504C0" w:rsidRPr="000846E7">
        <w:t xml:space="preserve"> </w:t>
      </w:r>
      <w:r w:rsidR="007B0FEB" w:rsidRPr="000846E7">
        <w:t>The Trust also strives to ensure that Trust assets of all types are kept secure and the potential for theft or criminal damage is minimised</w:t>
      </w:r>
      <w:r w:rsidR="00C86C75" w:rsidRPr="000846E7">
        <w:t xml:space="preserve">. </w:t>
      </w:r>
      <w:proofErr w:type="gramStart"/>
      <w:r w:rsidR="007B0FEB" w:rsidRPr="000846E7">
        <w:t>I</w:t>
      </w:r>
      <w:r w:rsidR="002504C0" w:rsidRPr="000846E7">
        <w:t>n today’s society</w:t>
      </w:r>
      <w:proofErr w:type="gramEnd"/>
      <w:r w:rsidR="002504C0" w:rsidRPr="000846E7">
        <w:t xml:space="preserve">, vehicles, </w:t>
      </w:r>
      <w:r w:rsidR="00EF269C" w:rsidRPr="000846E7">
        <w:t>equipment,</w:t>
      </w:r>
      <w:r w:rsidR="002504C0" w:rsidRPr="000846E7">
        <w:t xml:space="preserve"> and premises are vulnerable in respect of damage and theft, any of which could result in loss or irreparable damage or loss of function, and in turn this could have an impact on service provision.</w:t>
      </w:r>
    </w:p>
    <w:p w14:paraId="06DB96A2" w14:textId="77777777" w:rsidR="003B1DBF" w:rsidRDefault="003B1DBF" w:rsidP="00343828"/>
    <w:p w14:paraId="591DE4AE" w14:textId="16B3B2B5" w:rsidR="00F04E2C" w:rsidRDefault="002504C0" w:rsidP="00805519">
      <w:pPr>
        <w:pStyle w:val="PolLevel2"/>
      </w:pPr>
      <w:r w:rsidRPr="000846E7">
        <w:t xml:space="preserve">The Security Services have also highlighted the national risk from terrorist activities, in particular the use by such organisations of ambulance </w:t>
      </w:r>
      <w:r w:rsidRPr="000846E7">
        <w:lastRenderedPageBreak/>
        <w:t>vehicles as a Vehicle Borne Improvised Explosive</w:t>
      </w:r>
      <w:r w:rsidR="003B1DBF">
        <w:t xml:space="preserve"> </w:t>
      </w:r>
      <w:r w:rsidRPr="000846E7">
        <w:t xml:space="preserve">Device or as means to avert suspicion through disguise as </w:t>
      </w:r>
      <w:r w:rsidR="00E13EE4" w:rsidRPr="000846E7">
        <w:t>legitimate vehicle or legitimate personnel</w:t>
      </w:r>
      <w:r w:rsidRPr="000846E7">
        <w:t>, and that protection of assets is related to prevention of such circumstances.</w:t>
      </w:r>
      <w:r w:rsidR="00C13D65" w:rsidRPr="000846E7">
        <w:t xml:space="preserve">  In </w:t>
      </w:r>
      <w:r w:rsidR="00D43912" w:rsidRPr="000846E7">
        <w:t>addition,</w:t>
      </w:r>
      <w:r w:rsidR="00CE5E19" w:rsidRPr="000846E7">
        <w:t xml:space="preserve"> a significant amount of the </w:t>
      </w:r>
      <w:r w:rsidR="007B0FEB" w:rsidRPr="000846E7">
        <w:t xml:space="preserve">Trust’s </w:t>
      </w:r>
      <w:r w:rsidR="00CE5E19" w:rsidRPr="000846E7">
        <w:t xml:space="preserve">annual budget is spent on the physical assets of the organisation </w:t>
      </w:r>
      <w:r w:rsidR="00E13EE4" w:rsidRPr="000846E7">
        <w:t>i.e.,</w:t>
      </w:r>
      <w:r w:rsidR="00CE5E19" w:rsidRPr="000846E7">
        <w:t xml:space="preserve"> vehicles, </w:t>
      </w:r>
      <w:r w:rsidR="00E13EE4" w:rsidRPr="000846E7">
        <w:t>equipment,</w:t>
      </w:r>
      <w:r w:rsidR="00CE5E19" w:rsidRPr="000846E7">
        <w:t xml:space="preserve"> and Trust estate.</w:t>
      </w:r>
    </w:p>
    <w:p w14:paraId="65FBD815" w14:textId="77777777" w:rsidR="00F04E2C" w:rsidRDefault="00F04E2C" w:rsidP="00343828"/>
    <w:p w14:paraId="0AEEF8A6" w14:textId="6ADAC671" w:rsidR="00F04E2C" w:rsidRDefault="00C13D65" w:rsidP="00805519">
      <w:pPr>
        <w:pStyle w:val="PolLevel2"/>
      </w:pPr>
      <w:r w:rsidRPr="00F40DD3">
        <w:t>This policy applies to all staff employed by the Trust, including temporary / agency staff, Trust contractors and volunteers.</w:t>
      </w:r>
      <w:bookmarkStart w:id="3" w:name="_Toc428883737"/>
      <w:bookmarkStart w:id="4" w:name="_Toc428883928"/>
      <w:bookmarkStart w:id="5" w:name="_Toc428883976"/>
      <w:bookmarkStart w:id="6" w:name="_Toc428883738"/>
      <w:bookmarkStart w:id="7" w:name="_Toc428883929"/>
      <w:bookmarkStart w:id="8" w:name="_Toc428883977"/>
      <w:bookmarkStart w:id="9" w:name="_Toc428883739"/>
      <w:bookmarkStart w:id="10" w:name="_Toc428883930"/>
      <w:bookmarkStart w:id="11" w:name="_Toc428883978"/>
      <w:bookmarkStart w:id="12" w:name="_Toc428883740"/>
      <w:bookmarkStart w:id="13" w:name="_Toc428883931"/>
      <w:bookmarkStart w:id="14" w:name="_Toc428883979"/>
      <w:bookmarkStart w:id="15" w:name="_Toc428883741"/>
      <w:bookmarkStart w:id="16" w:name="_Toc428883932"/>
      <w:bookmarkStart w:id="17" w:name="_Toc428883980"/>
      <w:bookmarkStart w:id="18" w:name="_Toc428883742"/>
      <w:bookmarkStart w:id="19" w:name="_Toc428883933"/>
      <w:bookmarkStart w:id="20" w:name="_Toc428883981"/>
      <w:bookmarkStart w:id="21" w:name="_Toc428883743"/>
      <w:bookmarkStart w:id="22" w:name="_Toc428883934"/>
      <w:bookmarkStart w:id="23" w:name="_Toc428883982"/>
      <w:bookmarkStart w:id="24" w:name="_Toc428883744"/>
      <w:bookmarkStart w:id="25" w:name="_Toc428883935"/>
      <w:bookmarkStart w:id="26" w:name="_Toc428883983"/>
      <w:bookmarkStart w:id="27" w:name="_Toc428883745"/>
      <w:bookmarkStart w:id="28" w:name="_Toc428883936"/>
      <w:bookmarkStart w:id="29" w:name="_Toc428883984"/>
      <w:bookmarkStart w:id="30" w:name="_Toc428883746"/>
      <w:bookmarkStart w:id="31" w:name="_Toc428883937"/>
      <w:bookmarkStart w:id="32" w:name="_Toc428883985"/>
      <w:bookmarkStart w:id="33" w:name="_Toc428883747"/>
      <w:bookmarkStart w:id="34" w:name="_Toc428883938"/>
      <w:bookmarkStart w:id="35" w:name="_Toc428883986"/>
      <w:bookmarkStart w:id="36" w:name="_Toc428883748"/>
      <w:bookmarkStart w:id="37" w:name="_Toc428883939"/>
      <w:bookmarkStart w:id="38" w:name="_Toc428883987"/>
      <w:bookmarkStart w:id="39" w:name="_Toc428883749"/>
      <w:bookmarkStart w:id="40" w:name="_Toc428883940"/>
      <w:bookmarkStart w:id="41" w:name="_Toc428883988"/>
      <w:bookmarkStart w:id="42" w:name="_Toc428883750"/>
      <w:bookmarkStart w:id="43" w:name="_Toc428883941"/>
      <w:bookmarkStart w:id="44" w:name="_Toc428883989"/>
      <w:bookmarkStart w:id="45" w:name="_Toc428883751"/>
      <w:bookmarkStart w:id="46" w:name="_Toc428883942"/>
      <w:bookmarkStart w:id="47" w:name="_Toc428883990"/>
      <w:bookmarkStart w:id="48" w:name="_Toc428883752"/>
      <w:bookmarkStart w:id="49" w:name="_Toc428883943"/>
      <w:bookmarkStart w:id="50" w:name="_Toc428883991"/>
      <w:bookmarkStart w:id="51" w:name="_Toc428883753"/>
      <w:bookmarkStart w:id="52" w:name="_Toc428883944"/>
      <w:bookmarkStart w:id="53" w:name="_Toc428883992"/>
      <w:bookmarkStart w:id="54" w:name="_Toc428883754"/>
      <w:bookmarkStart w:id="55" w:name="_Toc428883945"/>
      <w:bookmarkStart w:id="56" w:name="_Toc428883993"/>
      <w:bookmarkStart w:id="57" w:name="_Toc428883755"/>
      <w:bookmarkStart w:id="58" w:name="_Toc428883946"/>
      <w:bookmarkStart w:id="59" w:name="_Toc428883994"/>
      <w:bookmarkStart w:id="60" w:name="_Toc428883756"/>
      <w:bookmarkStart w:id="61" w:name="_Toc428883947"/>
      <w:bookmarkStart w:id="62" w:name="_Toc428883995"/>
      <w:bookmarkStart w:id="63" w:name="_Toc428883757"/>
      <w:bookmarkStart w:id="64" w:name="_Toc428883948"/>
      <w:bookmarkStart w:id="65" w:name="_Toc428883996"/>
      <w:bookmarkStart w:id="66" w:name="_Toc428883758"/>
      <w:bookmarkStart w:id="67" w:name="_Toc428883949"/>
      <w:bookmarkStart w:id="68" w:name="_Toc428883997"/>
      <w:bookmarkStart w:id="69" w:name="_Toc428883759"/>
      <w:bookmarkStart w:id="70" w:name="_Toc428883950"/>
      <w:bookmarkStart w:id="71" w:name="_Toc428883998"/>
      <w:bookmarkStart w:id="72" w:name="_Toc428883760"/>
      <w:bookmarkStart w:id="73" w:name="_Toc428883951"/>
      <w:bookmarkStart w:id="74" w:name="_Toc428883999"/>
      <w:bookmarkStart w:id="75" w:name="_Toc428883761"/>
      <w:bookmarkStart w:id="76" w:name="_Toc428883952"/>
      <w:bookmarkStart w:id="77" w:name="_Toc428884000"/>
      <w:bookmarkStart w:id="78" w:name="_Toc428883762"/>
      <w:bookmarkStart w:id="79" w:name="_Toc428883953"/>
      <w:bookmarkStart w:id="80" w:name="_Toc428884001"/>
      <w:bookmarkStart w:id="81" w:name="_Toc428883763"/>
      <w:bookmarkStart w:id="82" w:name="_Toc428883954"/>
      <w:bookmarkStart w:id="83" w:name="_Toc428884002"/>
      <w:bookmarkStart w:id="84" w:name="_Toc428883764"/>
      <w:bookmarkStart w:id="85" w:name="_Toc428883955"/>
      <w:bookmarkStart w:id="86" w:name="_Toc428884003"/>
      <w:bookmarkStart w:id="87" w:name="_Toc428883765"/>
      <w:bookmarkStart w:id="88" w:name="_Toc428883956"/>
      <w:bookmarkStart w:id="89" w:name="_Toc42888400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8A37D74" w14:textId="77777777" w:rsidR="00F04E2C" w:rsidRDefault="00F04E2C" w:rsidP="00343828"/>
    <w:p w14:paraId="19E308EB" w14:textId="0CC5BAFF" w:rsidR="00F04E2C" w:rsidRPr="00F04E2C" w:rsidRDefault="007A157F" w:rsidP="00805519">
      <w:pPr>
        <w:pStyle w:val="Heading1"/>
        <w:numPr>
          <w:ilvl w:val="0"/>
          <w:numId w:val="23"/>
        </w:numPr>
        <w:rPr>
          <w:rFonts w:cs="Times New Roman"/>
          <w:szCs w:val="20"/>
        </w:rPr>
      </w:pPr>
      <w:bookmarkStart w:id="90" w:name="_Toc141096322"/>
      <w:r w:rsidRPr="00F04E2C">
        <w:t>Principles</w:t>
      </w:r>
      <w:bookmarkEnd w:id="90"/>
    </w:p>
    <w:p w14:paraId="03C7BA7C" w14:textId="77777777" w:rsidR="00F04E2C" w:rsidRDefault="00F04E2C" w:rsidP="00343828">
      <w:pPr>
        <w:rPr>
          <w:rFonts w:cs="Arial"/>
          <w:bCs/>
          <w:szCs w:val="28"/>
        </w:rPr>
      </w:pPr>
    </w:p>
    <w:p w14:paraId="30D82AC3" w14:textId="7CC55CA1" w:rsidR="00F04E2C" w:rsidRPr="00805519" w:rsidRDefault="008910F9" w:rsidP="00805519">
      <w:pPr>
        <w:pStyle w:val="PolLevel2"/>
        <w:rPr>
          <w:bCs/>
          <w:szCs w:val="28"/>
        </w:rPr>
      </w:pPr>
      <w:r w:rsidRPr="00805519">
        <w:t xml:space="preserve">The Trust follows the Secretary of State’s Directions issued to Health bodies and will manage security issues via </w:t>
      </w:r>
      <w:r w:rsidR="009140FD" w:rsidRPr="00805519">
        <w:t>the Nursing and Quality</w:t>
      </w:r>
      <w:r w:rsidRPr="00805519">
        <w:t xml:space="preserve"> </w:t>
      </w:r>
      <w:r w:rsidR="009140FD" w:rsidRPr="00805519">
        <w:t xml:space="preserve">and </w:t>
      </w:r>
      <w:r w:rsidR="00EE3B2D" w:rsidRPr="00805519">
        <w:t>the Security team.</w:t>
      </w:r>
    </w:p>
    <w:p w14:paraId="7DF912D6" w14:textId="77777777" w:rsidR="00F04E2C" w:rsidRDefault="00F04E2C" w:rsidP="00343828">
      <w:pPr>
        <w:rPr>
          <w:rFonts w:cs="Arial"/>
        </w:rPr>
      </w:pPr>
    </w:p>
    <w:p w14:paraId="5BAB6340" w14:textId="6FED4EE8" w:rsidR="00F04E2C" w:rsidRPr="00805519" w:rsidRDefault="008910F9" w:rsidP="00805519">
      <w:pPr>
        <w:pStyle w:val="PolLevel2"/>
      </w:pPr>
      <w:r w:rsidRPr="00805519">
        <w:t xml:space="preserve">The </w:t>
      </w:r>
      <w:r w:rsidR="00184308" w:rsidRPr="00805519">
        <w:t>Executive Director</w:t>
      </w:r>
      <w:r w:rsidRPr="00805519">
        <w:t xml:space="preserve"> will lead</w:t>
      </w:r>
      <w:r w:rsidR="0025619A" w:rsidRPr="00805519">
        <w:t xml:space="preserve"> at Senior Leadership level and the </w:t>
      </w:r>
      <w:r w:rsidR="00184308" w:rsidRPr="00805519">
        <w:t>Security team</w:t>
      </w:r>
      <w:r w:rsidR="0025619A" w:rsidRPr="00805519">
        <w:t xml:space="preserve"> outside of this as the senior role</w:t>
      </w:r>
      <w:r w:rsidRPr="00805519">
        <w:t xml:space="preserve"> on these issues, however it is a responsibility of all employees of the Trust to assist in the effective management of security.</w:t>
      </w:r>
    </w:p>
    <w:p w14:paraId="28A48980" w14:textId="77777777" w:rsidR="00F04E2C" w:rsidRDefault="00F04E2C" w:rsidP="00343828">
      <w:pPr>
        <w:rPr>
          <w:rFonts w:cs="Arial"/>
        </w:rPr>
      </w:pPr>
    </w:p>
    <w:p w14:paraId="55FD82BC" w14:textId="590B7C18" w:rsidR="00F04E2C" w:rsidRPr="00805519" w:rsidRDefault="00625C5A" w:rsidP="00805519">
      <w:pPr>
        <w:pStyle w:val="PolLevel2"/>
        <w:rPr>
          <w:b/>
          <w:bCs/>
        </w:rPr>
      </w:pPr>
      <w:r w:rsidRPr="00805519">
        <w:rPr>
          <w:b/>
          <w:bCs/>
        </w:rPr>
        <w:t>Violence and Aggression Procedur</w:t>
      </w:r>
      <w:r w:rsidR="00F04E2C" w:rsidRPr="00805519">
        <w:rPr>
          <w:b/>
          <w:bCs/>
        </w:rPr>
        <w:t>e.</w:t>
      </w:r>
    </w:p>
    <w:p w14:paraId="3CE1F95E" w14:textId="77777777" w:rsidR="00F04E2C" w:rsidRDefault="00F04E2C" w:rsidP="00343828">
      <w:pPr>
        <w:rPr>
          <w:rFonts w:cs="Arial"/>
        </w:rPr>
      </w:pPr>
    </w:p>
    <w:p w14:paraId="2D277312" w14:textId="40F12778" w:rsidR="0081305C" w:rsidRDefault="00782923" w:rsidP="0081305C">
      <w:pPr>
        <w:pStyle w:val="PolLevel3"/>
      </w:pPr>
      <w:r>
        <w:rPr>
          <w:b/>
          <w:bCs/>
        </w:rPr>
        <w:t xml:space="preserve">   </w:t>
      </w:r>
      <w:r w:rsidR="008910F9" w:rsidRPr="0081305C">
        <w:rPr>
          <w:b/>
          <w:bCs/>
        </w:rPr>
        <w:t>Education and Training</w:t>
      </w:r>
      <w:r w:rsidR="00214BAB" w:rsidRPr="00FF55A1">
        <w:t xml:space="preserve">: </w:t>
      </w:r>
      <w:r w:rsidR="0081305C" w:rsidRPr="00404C3C">
        <w:t xml:space="preserve">All staff must receive training in conflict </w:t>
      </w:r>
      <w:r>
        <w:t xml:space="preserve">     </w:t>
      </w:r>
      <w:r w:rsidR="0081305C" w:rsidRPr="00404C3C">
        <w:t>management.</w:t>
      </w:r>
    </w:p>
    <w:p w14:paraId="5D7647FD" w14:textId="77777777" w:rsidR="0081305C" w:rsidRDefault="0081305C" w:rsidP="0081305C">
      <w:pPr>
        <w:ind w:left="1134" w:hanging="1134"/>
      </w:pPr>
    </w:p>
    <w:p w14:paraId="1DB49592" w14:textId="77777777" w:rsidR="0081305C" w:rsidRDefault="0081305C" w:rsidP="0081305C">
      <w:pPr>
        <w:pStyle w:val="ListParagraph"/>
        <w:ind w:left="1134"/>
      </w:pPr>
      <w:r>
        <w:t>Accredited Conflict Resolution Training will be delivered to Trust staff by accredited trainers. All frontline staff including community first responders are required to attend this training every three years.</w:t>
      </w:r>
    </w:p>
    <w:p w14:paraId="33DAC1A7" w14:textId="77777777" w:rsidR="0081305C" w:rsidRDefault="0081305C" w:rsidP="0081305C">
      <w:pPr>
        <w:pStyle w:val="ListParagraph"/>
      </w:pPr>
    </w:p>
    <w:p w14:paraId="6A4405AC" w14:textId="77777777" w:rsidR="0081305C" w:rsidRDefault="0081305C" w:rsidP="0081305C">
      <w:pPr>
        <w:pStyle w:val="ListParagraph"/>
        <w:ind w:left="1134"/>
      </w:pPr>
      <w:r>
        <w:t xml:space="preserve">The training aims are to resolve potentially confrontational situations, develop skills and knowledge to make a dynamic risk assessment to be able to recognise potentially violent situations and give an understanding of how to de-escalate and respond accordingly. </w:t>
      </w:r>
    </w:p>
    <w:p w14:paraId="4E9A87CD" w14:textId="77777777" w:rsidR="0081305C" w:rsidRDefault="0081305C" w:rsidP="0081305C">
      <w:pPr>
        <w:pStyle w:val="ListParagraph"/>
      </w:pPr>
    </w:p>
    <w:p w14:paraId="409A7D3C" w14:textId="77777777" w:rsidR="0081305C" w:rsidRDefault="0081305C" w:rsidP="0081305C">
      <w:pPr>
        <w:pStyle w:val="PolLevel3"/>
        <w:numPr>
          <w:ilvl w:val="0"/>
          <w:numId w:val="0"/>
        </w:numPr>
        <w:ind w:left="936"/>
      </w:pPr>
      <w:r>
        <w:t xml:space="preserve">Clinical restraint and breakaway techniques are included within the training. </w:t>
      </w:r>
    </w:p>
    <w:p w14:paraId="37471AD8" w14:textId="77777777" w:rsidR="0081305C" w:rsidRDefault="0081305C" w:rsidP="0081305C">
      <w:pPr>
        <w:pStyle w:val="PolLevel3"/>
        <w:numPr>
          <w:ilvl w:val="0"/>
          <w:numId w:val="0"/>
        </w:numPr>
        <w:ind w:left="936"/>
      </w:pPr>
    </w:p>
    <w:p w14:paraId="0F2B129F" w14:textId="1CC7C7C2" w:rsidR="00EE540F" w:rsidRDefault="008910F9" w:rsidP="0081305C">
      <w:pPr>
        <w:pStyle w:val="PolLevel3"/>
        <w:numPr>
          <w:ilvl w:val="0"/>
          <w:numId w:val="0"/>
        </w:numPr>
        <w:ind w:left="936"/>
      </w:pPr>
      <w:r w:rsidRPr="00FF55A1">
        <w:t xml:space="preserve">All staff as part of their </w:t>
      </w:r>
      <w:r w:rsidR="001657B5" w:rsidRPr="00FF55A1">
        <w:t xml:space="preserve">key skills training </w:t>
      </w:r>
      <w:r w:rsidRPr="00FF55A1">
        <w:t>will receive conflict resolution training</w:t>
      </w:r>
      <w:r w:rsidR="0069166A" w:rsidRPr="00FF55A1">
        <w:t xml:space="preserve"> via </w:t>
      </w:r>
      <w:r w:rsidR="00FF55A1" w:rsidRPr="00FF55A1">
        <w:t>the online workbooks on ESR each year, conflict is on a 3-year cycle. "NHS|CSTF|NHS Conflict Resolution (England) - 3 Years".</w:t>
      </w:r>
    </w:p>
    <w:p w14:paraId="0AAB9183" w14:textId="77777777" w:rsidR="00782923" w:rsidRDefault="00782923" w:rsidP="0081305C">
      <w:pPr>
        <w:pStyle w:val="PolLevel3"/>
        <w:numPr>
          <w:ilvl w:val="0"/>
          <w:numId w:val="0"/>
        </w:numPr>
        <w:ind w:left="936"/>
      </w:pPr>
    </w:p>
    <w:p w14:paraId="08F91568" w14:textId="77777777" w:rsidR="00782923" w:rsidRDefault="00782923" w:rsidP="00782923">
      <w:pPr>
        <w:ind w:left="936"/>
      </w:pPr>
      <w:r>
        <w:t>Individuals who may have verbal contact with patients, e.g. EOC and 111 operatives, will attend Challenging Behaviour and Verbal De-escalation training.</w:t>
      </w:r>
    </w:p>
    <w:p w14:paraId="23A6CB48" w14:textId="77777777" w:rsidR="00782923" w:rsidRPr="0081305C" w:rsidRDefault="00782923" w:rsidP="0081305C">
      <w:pPr>
        <w:pStyle w:val="PolLevel3"/>
        <w:numPr>
          <w:ilvl w:val="0"/>
          <w:numId w:val="0"/>
        </w:numPr>
        <w:ind w:left="936"/>
      </w:pPr>
    </w:p>
    <w:p w14:paraId="050D5385" w14:textId="77777777" w:rsidR="00EE540F" w:rsidRDefault="00EE540F" w:rsidP="00343828"/>
    <w:p w14:paraId="03A770EB" w14:textId="02760793" w:rsidR="00EE540F" w:rsidRPr="00EE540F" w:rsidRDefault="00214BAB" w:rsidP="00805519">
      <w:pPr>
        <w:pStyle w:val="PolLevel3"/>
      </w:pPr>
      <w:r w:rsidRPr="00805519">
        <w:rPr>
          <w:b/>
          <w:bCs/>
        </w:rPr>
        <w:t>History Marking</w:t>
      </w:r>
      <w:r w:rsidRPr="00805519">
        <w:t xml:space="preserve">: </w:t>
      </w:r>
      <w:r w:rsidR="008910F9" w:rsidRPr="00805519">
        <w:t xml:space="preserve">To reduce the possibility of staff </w:t>
      </w:r>
      <w:r w:rsidR="0025619A" w:rsidRPr="00805519">
        <w:t xml:space="preserve">incidents </w:t>
      </w:r>
      <w:r w:rsidR="008910F9" w:rsidRPr="00805519">
        <w:t>the Trust will maintain a dat</w:t>
      </w:r>
      <w:r w:rsidR="00221028" w:rsidRPr="00805519">
        <w:t>a</w:t>
      </w:r>
      <w:r w:rsidR="008910F9" w:rsidRPr="00805519">
        <w:t>base of addresses (“History Mark</w:t>
      </w:r>
      <w:r w:rsidR="0025619A" w:rsidRPr="00805519">
        <w:t>er</w:t>
      </w:r>
      <w:r w:rsidR="008910F9" w:rsidRPr="00805519">
        <w:t xml:space="preserve">s”) within the Emergency </w:t>
      </w:r>
      <w:r w:rsidR="00814EA0" w:rsidRPr="00805519">
        <w:lastRenderedPageBreak/>
        <w:t>Operations</w:t>
      </w:r>
      <w:r w:rsidR="008910F9" w:rsidRPr="00805519">
        <w:t xml:space="preserve"> Centre (E</w:t>
      </w:r>
      <w:r w:rsidR="00814EA0" w:rsidRPr="00805519">
        <w:t>O</w:t>
      </w:r>
      <w:r w:rsidR="008910F9" w:rsidRPr="00805519">
        <w:t xml:space="preserve">C), of persons who have previously subjected </w:t>
      </w:r>
      <w:r w:rsidR="0025619A" w:rsidRPr="00805519">
        <w:t xml:space="preserve">operatives </w:t>
      </w:r>
      <w:r w:rsidR="008910F9" w:rsidRPr="00805519">
        <w:t>of the Trust to violence and</w:t>
      </w:r>
      <w:r w:rsidR="0025619A" w:rsidRPr="00805519">
        <w:t>/or</w:t>
      </w:r>
      <w:r w:rsidR="008910F9" w:rsidRPr="00805519">
        <w:t xml:space="preserve"> aggression. In the event of further calls to this person, attending staff will be advised of the previous behaviour of the subject to assist them in judging the situation and how to proceed. In more serious cases, the crew </w:t>
      </w:r>
      <w:r w:rsidR="0025619A" w:rsidRPr="00805519">
        <w:t xml:space="preserve">may determine to </w:t>
      </w:r>
      <w:r w:rsidR="008910F9" w:rsidRPr="00805519">
        <w:t xml:space="preserve">rendezvous with the Police prior to </w:t>
      </w:r>
      <w:r w:rsidR="0025619A" w:rsidRPr="00805519">
        <w:t xml:space="preserve">an </w:t>
      </w:r>
      <w:r w:rsidR="008910F9" w:rsidRPr="00805519">
        <w:t>attendance.</w:t>
      </w:r>
    </w:p>
    <w:p w14:paraId="245B89CD" w14:textId="77777777" w:rsidR="00EE540F" w:rsidRDefault="00EE540F" w:rsidP="00343828">
      <w:pPr>
        <w:rPr>
          <w:rFonts w:cs="Arial"/>
        </w:rPr>
      </w:pPr>
    </w:p>
    <w:p w14:paraId="043D7EF4" w14:textId="66C23358" w:rsidR="00EE540F" w:rsidRPr="00805519" w:rsidRDefault="008910F9" w:rsidP="00805519">
      <w:pPr>
        <w:pStyle w:val="PolLevel3"/>
      </w:pPr>
      <w:r w:rsidRPr="00805519">
        <w:rPr>
          <w:b/>
          <w:bCs/>
        </w:rPr>
        <w:t>Dynamic Risk Assessment</w:t>
      </w:r>
      <w:r w:rsidR="00214BAB" w:rsidRPr="00805519">
        <w:t xml:space="preserve">: </w:t>
      </w:r>
      <w:r w:rsidRPr="00805519">
        <w:t xml:space="preserve">Dynamic Risk Assessments are the basis that Trust </w:t>
      </w:r>
      <w:r w:rsidR="00E867F2" w:rsidRPr="00805519">
        <w:t xml:space="preserve">operatives </w:t>
      </w:r>
      <w:r w:rsidRPr="00805519">
        <w:t>must use to make informed decisions for entering or removing themselves from any substantiated and credible threats</w:t>
      </w:r>
      <w:r w:rsidR="000C5AF0" w:rsidRPr="00805519">
        <w:t xml:space="preserve">. </w:t>
      </w:r>
      <w:r w:rsidR="00E867F2" w:rsidRPr="00805519">
        <w:t>They should also utilise any available information the Trust holds, such as overarching risk assessments, local or Trust wide, History Marking, Security Alerts etc. where the information is directly applicable to the call or attendance at the time.</w:t>
      </w:r>
    </w:p>
    <w:p w14:paraId="093768BF" w14:textId="77777777" w:rsidR="00EE540F" w:rsidRDefault="00EE540F" w:rsidP="00343828">
      <w:pPr>
        <w:rPr>
          <w:rFonts w:cs="Arial"/>
        </w:rPr>
      </w:pPr>
    </w:p>
    <w:p w14:paraId="03DC17D8" w14:textId="463C0FD0" w:rsidR="00EE540F" w:rsidRPr="00805519" w:rsidRDefault="008D54E5" w:rsidP="00805519">
      <w:pPr>
        <w:pStyle w:val="PolLevel3"/>
      </w:pPr>
      <w:r w:rsidRPr="00805519">
        <w:t xml:space="preserve">In all cases, the balance of the duty of care to patients must be matched with the priority of ensuring the safety of Trust </w:t>
      </w:r>
      <w:r w:rsidR="00E867F2" w:rsidRPr="00805519">
        <w:t>operatives</w:t>
      </w:r>
      <w:r w:rsidRPr="00805519">
        <w:t xml:space="preserve">; </w:t>
      </w:r>
      <w:r w:rsidR="00D43912" w:rsidRPr="00805519">
        <w:t>however,</w:t>
      </w:r>
      <w:r w:rsidRPr="00805519">
        <w:t xml:space="preserve"> this duty of care requires that, in the provision of emergency treatment, reasonable steps should be taken to ensure that the public are not put unnecessarily at risk and that their needs should also be considered.</w:t>
      </w:r>
    </w:p>
    <w:p w14:paraId="58EAD111" w14:textId="77777777" w:rsidR="00EE540F" w:rsidRDefault="00EE540F" w:rsidP="00343828">
      <w:pPr>
        <w:rPr>
          <w:rFonts w:cs="Arial"/>
        </w:rPr>
      </w:pPr>
    </w:p>
    <w:p w14:paraId="4EF1A227" w14:textId="4338A7D0" w:rsidR="00EE540F" w:rsidRPr="00805519" w:rsidRDefault="00221028" w:rsidP="00805519">
      <w:pPr>
        <w:pStyle w:val="PolLevel3"/>
      </w:pPr>
      <w:r w:rsidRPr="00805519">
        <w:rPr>
          <w:b/>
          <w:bCs/>
        </w:rPr>
        <w:t>Summoning Assistance</w:t>
      </w:r>
      <w:r w:rsidR="00214BAB" w:rsidRPr="00805519">
        <w:t xml:space="preserve">: </w:t>
      </w:r>
      <w:r w:rsidRPr="00805519">
        <w:t xml:space="preserve">All Operational Staff, whether part of a crew or acting as lone workers must have a means of raising assistance or calling for help. </w:t>
      </w:r>
    </w:p>
    <w:p w14:paraId="78E5F43E" w14:textId="77777777" w:rsidR="00EE540F" w:rsidRDefault="00EE540F" w:rsidP="00343828">
      <w:pPr>
        <w:rPr>
          <w:rFonts w:cs="Arial"/>
        </w:rPr>
      </w:pPr>
    </w:p>
    <w:p w14:paraId="15F9B504" w14:textId="26E6A21D" w:rsidR="00221028" w:rsidRPr="00533B15" w:rsidRDefault="00221028" w:rsidP="00805519">
      <w:pPr>
        <w:pStyle w:val="PolLevel3"/>
        <w:rPr>
          <w:b/>
          <w:bCs/>
        </w:rPr>
      </w:pPr>
      <w:r w:rsidRPr="00533B15">
        <w:rPr>
          <w:b/>
          <w:bCs/>
        </w:rPr>
        <w:t>Within the Trust this will be via:</w:t>
      </w:r>
    </w:p>
    <w:p w14:paraId="47912C65" w14:textId="77777777" w:rsidR="00EE540F" w:rsidRPr="00214BAB" w:rsidRDefault="00EE540F" w:rsidP="00343828">
      <w:pPr>
        <w:rPr>
          <w:rFonts w:cs="Arial"/>
        </w:rPr>
      </w:pPr>
    </w:p>
    <w:p w14:paraId="15F9B505" w14:textId="77777777" w:rsidR="002715EB" w:rsidRPr="004E156A" w:rsidRDefault="002715EB" w:rsidP="00343828">
      <w:pPr>
        <w:rPr>
          <w:rFonts w:cs="Arial"/>
        </w:rPr>
      </w:pPr>
      <w:proofErr w:type="gramStart"/>
      <w:r w:rsidRPr="00C57900">
        <w:rPr>
          <w:rFonts w:ascii="Wingdings" w:eastAsia="Wingdings" w:hAnsi="Wingdings" w:cs="Wingdings"/>
          <w:sz w:val="36"/>
        </w:rPr>
        <w:t>(</w:t>
      </w:r>
      <w:r>
        <w:rPr>
          <w:rFonts w:cs="Arial"/>
        </w:rPr>
        <w:t xml:space="preserve">  </w:t>
      </w:r>
      <w:r>
        <w:rPr>
          <w:rFonts w:cs="Arial"/>
        </w:rPr>
        <w:tab/>
      </w:r>
      <w:proofErr w:type="gramEnd"/>
      <w:r>
        <w:rPr>
          <w:rFonts w:cs="Arial"/>
        </w:rPr>
        <w:t>Fi</w:t>
      </w:r>
      <w:r w:rsidRPr="004E156A">
        <w:rPr>
          <w:rFonts w:cs="Arial"/>
          <w:szCs w:val="24"/>
        </w:rPr>
        <w:t>xed telephone</w:t>
      </w:r>
    </w:p>
    <w:p w14:paraId="15F9B506" w14:textId="77777777" w:rsidR="002715EB" w:rsidRPr="004E156A" w:rsidRDefault="002715EB" w:rsidP="00343828">
      <w:pPr>
        <w:rPr>
          <w:rFonts w:cs="Arial"/>
        </w:rPr>
      </w:pPr>
      <w:r>
        <w:rPr>
          <w:rFonts w:cs="Arial"/>
          <w:noProof/>
          <w:lang w:eastAsia="en-GB"/>
        </w:rPr>
        <w:drawing>
          <wp:inline distT="0" distB="0" distL="0" distR="0" wp14:anchorId="15F9B626" wp14:editId="15F9B627">
            <wp:extent cx="329565" cy="329565"/>
            <wp:effectExtent l="0" t="0" r="0" b="0"/>
            <wp:docPr id="10" name="Picture 10" descr="ExclamationPanic_thum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ExclamationPanic_thumb[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565" cy="329565"/>
                    </a:xfrm>
                    <a:prstGeom prst="rect">
                      <a:avLst/>
                    </a:prstGeom>
                    <a:noFill/>
                    <a:ln>
                      <a:noFill/>
                    </a:ln>
                  </pic:spPr>
                </pic:pic>
              </a:graphicData>
            </a:graphic>
          </wp:inline>
        </w:drawing>
      </w:r>
      <w:r>
        <w:rPr>
          <w:rFonts w:cs="Arial"/>
        </w:rPr>
        <w:tab/>
      </w:r>
      <w:r w:rsidRPr="004E156A">
        <w:rPr>
          <w:rFonts w:cs="Arial"/>
        </w:rPr>
        <w:t>Fixed panic button</w:t>
      </w:r>
    </w:p>
    <w:p w14:paraId="15F9B507" w14:textId="77777777" w:rsidR="002715EB" w:rsidRDefault="002715EB" w:rsidP="00343828">
      <w:pPr>
        <w:rPr>
          <w:rFonts w:cs="Arial"/>
        </w:rPr>
      </w:pPr>
      <w:r>
        <w:rPr>
          <w:rFonts w:cs="Arial"/>
          <w:noProof/>
          <w:lang w:eastAsia="en-GB"/>
        </w:rPr>
        <w:drawing>
          <wp:inline distT="0" distB="0" distL="0" distR="0" wp14:anchorId="15F9B628" wp14:editId="15F9B629">
            <wp:extent cx="425450" cy="425450"/>
            <wp:effectExtent l="0" t="0" r="0" b="0"/>
            <wp:docPr id="9" name="Picture 9" descr="Mobile-Phone-Icon-300x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obile-Phone-Icon-300x3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Pr>
          <w:rFonts w:cs="Arial"/>
        </w:rPr>
        <w:tab/>
      </w:r>
      <w:r w:rsidRPr="004E156A">
        <w:rPr>
          <w:rFonts w:cs="Arial"/>
        </w:rPr>
        <w:t xml:space="preserve">Mobile </w:t>
      </w:r>
      <w:r>
        <w:rPr>
          <w:rFonts w:cs="Arial"/>
        </w:rPr>
        <w:t>tele</w:t>
      </w:r>
      <w:r w:rsidRPr="004E156A">
        <w:rPr>
          <w:rFonts w:cs="Arial"/>
        </w:rPr>
        <w:t>phone</w:t>
      </w:r>
    </w:p>
    <w:tbl>
      <w:tblPr>
        <w:tblW w:w="0" w:type="auto"/>
        <w:tblLook w:val="04A0" w:firstRow="1" w:lastRow="0" w:firstColumn="1" w:lastColumn="0" w:noHBand="0" w:noVBand="1"/>
      </w:tblPr>
      <w:tblGrid>
        <w:gridCol w:w="993"/>
        <w:gridCol w:w="3683"/>
      </w:tblGrid>
      <w:tr w:rsidR="002715EB" w:rsidRPr="006E4D48" w14:paraId="15F9B50B" w14:textId="77777777" w:rsidTr="00EE540F">
        <w:tc>
          <w:tcPr>
            <w:tcW w:w="993" w:type="dxa"/>
          </w:tcPr>
          <w:p w14:paraId="15F9B508" w14:textId="77777777" w:rsidR="002715EB" w:rsidRPr="006E4D48" w:rsidRDefault="002715EB" w:rsidP="00EE540F">
            <w:pPr>
              <w:rPr>
                <w:rFonts w:cs="Arial"/>
              </w:rPr>
            </w:pPr>
            <w:r>
              <w:rPr>
                <w:rFonts w:cs="Arial"/>
                <w:noProof/>
                <w:color w:val="767875"/>
                <w:sz w:val="21"/>
                <w:szCs w:val="21"/>
                <w:lang w:eastAsia="en-GB"/>
              </w:rPr>
              <w:drawing>
                <wp:inline distT="0" distB="0" distL="0" distR="0" wp14:anchorId="15F9B62A" wp14:editId="15F9B62B">
                  <wp:extent cx="340360" cy="542290"/>
                  <wp:effectExtent l="0" t="0" r="2540" b="0"/>
                  <wp:docPr id="8" name="Picture 8" descr="Modern_Police_Rad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odern_Police_Radi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360" cy="542290"/>
                          </a:xfrm>
                          <a:prstGeom prst="rect">
                            <a:avLst/>
                          </a:prstGeom>
                          <a:noFill/>
                          <a:ln>
                            <a:noFill/>
                          </a:ln>
                        </pic:spPr>
                      </pic:pic>
                    </a:graphicData>
                  </a:graphic>
                </wp:inline>
              </w:drawing>
            </w:r>
          </w:p>
        </w:tc>
        <w:tc>
          <w:tcPr>
            <w:tcW w:w="3683" w:type="dxa"/>
          </w:tcPr>
          <w:p w14:paraId="15F9B509" w14:textId="77777777" w:rsidR="00756B4C" w:rsidRDefault="00756B4C" w:rsidP="00343828">
            <w:pPr>
              <w:rPr>
                <w:rFonts w:cs="Arial"/>
              </w:rPr>
            </w:pPr>
          </w:p>
          <w:p w14:paraId="15F9B50A" w14:textId="77777777" w:rsidR="002715EB" w:rsidRPr="006E4D48" w:rsidRDefault="002715EB" w:rsidP="00EE540F">
            <w:pPr>
              <w:rPr>
                <w:rFonts w:cs="Arial"/>
              </w:rPr>
            </w:pPr>
            <w:r w:rsidRPr="006E4D48">
              <w:rPr>
                <w:rFonts w:cs="Arial"/>
              </w:rPr>
              <w:t xml:space="preserve"> Radio</w:t>
            </w:r>
          </w:p>
        </w:tc>
      </w:tr>
    </w:tbl>
    <w:p w14:paraId="7BE6C56D" w14:textId="77777777" w:rsidR="00D7494F" w:rsidRDefault="00D7494F" w:rsidP="00343828">
      <w:pPr>
        <w:rPr>
          <w:rFonts w:cs="Arial"/>
        </w:rPr>
      </w:pPr>
    </w:p>
    <w:p w14:paraId="706F6B19" w14:textId="77777777" w:rsidR="00D7494F" w:rsidRDefault="00D7494F" w:rsidP="00343828">
      <w:pPr>
        <w:rPr>
          <w:rFonts w:cs="Arial"/>
        </w:rPr>
      </w:pPr>
    </w:p>
    <w:p w14:paraId="4F248CFA" w14:textId="5F30DBDC" w:rsidR="00D7494F" w:rsidRPr="00805519" w:rsidRDefault="00566BC0" w:rsidP="00805519">
      <w:pPr>
        <w:pStyle w:val="PolLevel3"/>
      </w:pPr>
      <w:r w:rsidRPr="00805519">
        <w:t>It is recognised that whilst t</w:t>
      </w:r>
      <w:r w:rsidR="00221028" w:rsidRPr="00805519">
        <w:t xml:space="preserve">hese devices will not prevent incidents occurring, </w:t>
      </w:r>
      <w:r w:rsidR="00296E71" w:rsidRPr="00805519">
        <w:t>they</w:t>
      </w:r>
      <w:r w:rsidR="00221028" w:rsidRPr="00805519">
        <w:t xml:space="preserve"> do provide a means of calling for assistance and obtaining aid</w:t>
      </w:r>
      <w:r w:rsidR="00296E71" w:rsidRPr="00805519">
        <w:t>;</w:t>
      </w:r>
      <w:r w:rsidR="00221028" w:rsidRPr="00805519">
        <w:t xml:space="preserve"> to minimise the severity of incidents.</w:t>
      </w:r>
    </w:p>
    <w:p w14:paraId="0AE77834" w14:textId="77777777" w:rsidR="00D7494F" w:rsidRPr="00805519" w:rsidRDefault="00D7494F" w:rsidP="00343828">
      <w:pPr>
        <w:rPr>
          <w:rFonts w:cs="Arial"/>
          <w:b/>
          <w:bCs/>
        </w:rPr>
      </w:pPr>
    </w:p>
    <w:p w14:paraId="49E2ACC6" w14:textId="6CFB1803" w:rsidR="00D7494F" w:rsidRPr="00805519" w:rsidRDefault="008910F9" w:rsidP="00805519">
      <w:pPr>
        <w:pStyle w:val="PolLevel2"/>
        <w:rPr>
          <w:b/>
          <w:bCs/>
        </w:rPr>
      </w:pPr>
      <w:r w:rsidRPr="00805519">
        <w:rPr>
          <w:b/>
          <w:bCs/>
        </w:rPr>
        <w:t>Management of incidents of violence, aggression and abuse</w:t>
      </w:r>
      <w:r w:rsidR="00D7494F" w:rsidRPr="00805519">
        <w:rPr>
          <w:b/>
          <w:bCs/>
        </w:rPr>
        <w:t>.</w:t>
      </w:r>
    </w:p>
    <w:p w14:paraId="79EDCD1F" w14:textId="77777777" w:rsidR="00D7494F" w:rsidRDefault="00D7494F" w:rsidP="00343828">
      <w:pPr>
        <w:rPr>
          <w:rFonts w:cs="Arial"/>
        </w:rPr>
      </w:pPr>
    </w:p>
    <w:p w14:paraId="525B35EF" w14:textId="180B05E4" w:rsidR="00D7494F" w:rsidRPr="00805519" w:rsidRDefault="008910F9" w:rsidP="00805519">
      <w:pPr>
        <w:pStyle w:val="PolLevel3"/>
      </w:pPr>
      <w:r w:rsidRPr="00805519">
        <w:t>All incidents of violence and aggression must be reported via the Trust’s incident reporting system.</w:t>
      </w:r>
    </w:p>
    <w:p w14:paraId="3FDEE9A7" w14:textId="77777777" w:rsidR="00D7494F" w:rsidRDefault="00D7494F" w:rsidP="00343828">
      <w:pPr>
        <w:rPr>
          <w:rFonts w:cs="Arial"/>
        </w:rPr>
      </w:pPr>
    </w:p>
    <w:p w14:paraId="18A22D67" w14:textId="1030EC1E" w:rsidR="00D7494F" w:rsidRPr="00805519" w:rsidRDefault="009E0187" w:rsidP="00805519">
      <w:pPr>
        <w:pStyle w:val="PolLevel3"/>
      </w:pPr>
      <w:r w:rsidRPr="00805519">
        <w:t>The Security Team</w:t>
      </w:r>
      <w:r w:rsidR="008910F9" w:rsidRPr="00805519">
        <w:t xml:space="preserve"> must be notified via the reporting system of the incident to allow contact to be made with the </w:t>
      </w:r>
      <w:r w:rsidR="00E867F2" w:rsidRPr="00805519">
        <w:t xml:space="preserve">operative where appropriate </w:t>
      </w:r>
      <w:r w:rsidR="008910F9" w:rsidRPr="00805519">
        <w:t xml:space="preserve">to offer </w:t>
      </w:r>
      <w:r w:rsidR="008910F9" w:rsidRPr="00805519">
        <w:lastRenderedPageBreak/>
        <w:t>advice</w:t>
      </w:r>
      <w:r w:rsidR="00E867F2" w:rsidRPr="00805519">
        <w:t xml:space="preserve"> and support</w:t>
      </w:r>
      <w:r w:rsidR="008910F9" w:rsidRPr="00805519">
        <w:t xml:space="preserve"> on subsequent steps that can be taken</w:t>
      </w:r>
      <w:r w:rsidR="00E867F2" w:rsidRPr="00805519">
        <w:t xml:space="preserve"> both locally and criminally</w:t>
      </w:r>
      <w:r w:rsidR="008910F9" w:rsidRPr="00805519">
        <w:t>.</w:t>
      </w:r>
    </w:p>
    <w:p w14:paraId="47524E3E" w14:textId="77777777" w:rsidR="00D7494F" w:rsidRDefault="00D7494F" w:rsidP="00343828">
      <w:pPr>
        <w:rPr>
          <w:rFonts w:cs="Arial"/>
        </w:rPr>
      </w:pPr>
    </w:p>
    <w:p w14:paraId="0F0DD9E1" w14:textId="20B47DFE" w:rsidR="00D7494F" w:rsidRPr="00805519" w:rsidRDefault="008910F9" w:rsidP="00805519">
      <w:pPr>
        <w:pStyle w:val="PolLevel3"/>
      </w:pPr>
      <w:r w:rsidRPr="00805519">
        <w:t>Where a</w:t>
      </w:r>
      <w:r w:rsidR="00296E71" w:rsidRPr="00805519">
        <w:t>n incident of violence and aggression</w:t>
      </w:r>
      <w:r w:rsidRPr="00805519">
        <w:t xml:space="preserve"> has occurred</w:t>
      </w:r>
      <w:r w:rsidR="00296E71" w:rsidRPr="00805519">
        <w:t>,</w:t>
      </w:r>
      <w:r w:rsidRPr="00805519">
        <w:t xml:space="preserve"> the Trust advocates strongly that </w:t>
      </w:r>
      <w:r w:rsidR="00292198" w:rsidRPr="00805519">
        <w:t xml:space="preserve">the </w:t>
      </w:r>
      <w:r w:rsidRPr="00805519">
        <w:t xml:space="preserve">matter is reported to the police </w:t>
      </w:r>
      <w:r w:rsidR="00296E71" w:rsidRPr="00805519">
        <w:t>as a crime</w:t>
      </w:r>
      <w:r w:rsidRPr="00805519">
        <w:t>, however the decision to do so is ultimately the victim</w:t>
      </w:r>
      <w:r w:rsidR="00292198" w:rsidRPr="00805519">
        <w:t>’</w:t>
      </w:r>
      <w:r w:rsidRPr="00805519">
        <w:t>s own.</w:t>
      </w:r>
    </w:p>
    <w:p w14:paraId="4FBA7D3B" w14:textId="77777777" w:rsidR="00D7494F" w:rsidRDefault="00D7494F" w:rsidP="00343828">
      <w:pPr>
        <w:rPr>
          <w:rFonts w:cs="Arial"/>
        </w:rPr>
      </w:pPr>
    </w:p>
    <w:p w14:paraId="677D8874" w14:textId="216C3859" w:rsidR="00D7494F" w:rsidRPr="00805519" w:rsidRDefault="008910F9" w:rsidP="00805519">
      <w:pPr>
        <w:pStyle w:val="PolLevel3"/>
      </w:pPr>
      <w:r w:rsidRPr="00805519">
        <w:t xml:space="preserve">The </w:t>
      </w:r>
      <w:r w:rsidR="008D61DC" w:rsidRPr="00805519">
        <w:t>Security Team</w:t>
      </w:r>
      <w:r w:rsidRPr="00805519">
        <w:t xml:space="preserve">, on behalf of the Trust, </w:t>
      </w:r>
      <w:r w:rsidR="00E867F2" w:rsidRPr="00805519">
        <w:t xml:space="preserve">where required can </w:t>
      </w:r>
      <w:r w:rsidRPr="00805519">
        <w:t>support and assist with all police investigations into incidents of violence and abuse against Trust staff and follow up on each case as it progresses</w:t>
      </w:r>
      <w:r w:rsidR="00296E71" w:rsidRPr="00805519">
        <w:t>, until such time it</w:t>
      </w:r>
      <w:r w:rsidRPr="00805519">
        <w:t xml:space="preserve"> is concluded.</w:t>
      </w:r>
    </w:p>
    <w:p w14:paraId="5C8547AD" w14:textId="77777777" w:rsidR="00D7494F" w:rsidRDefault="00D7494F" w:rsidP="00343828">
      <w:pPr>
        <w:rPr>
          <w:rFonts w:cs="Arial"/>
        </w:rPr>
      </w:pPr>
    </w:p>
    <w:p w14:paraId="46D305F0" w14:textId="565D501D" w:rsidR="00D7494F" w:rsidRDefault="008910F9" w:rsidP="00805519">
      <w:pPr>
        <w:pStyle w:val="PolLevel3"/>
      </w:pPr>
      <w:r w:rsidRPr="00805519">
        <w:t xml:space="preserve">Information gained on the outcome from cases should be shared with the victim in the first instance by </w:t>
      </w:r>
      <w:r w:rsidR="00E867F2" w:rsidRPr="00805519">
        <w:t>Security Management</w:t>
      </w:r>
      <w:r w:rsidR="00453974" w:rsidRPr="00805519">
        <w:t>.</w:t>
      </w:r>
    </w:p>
    <w:p w14:paraId="0FE737E4" w14:textId="77777777" w:rsidR="00E713C6" w:rsidRDefault="00E713C6" w:rsidP="00E713C6">
      <w:pPr>
        <w:pStyle w:val="ListParagraph"/>
      </w:pPr>
    </w:p>
    <w:p w14:paraId="38F7A7A5" w14:textId="1FA1B306" w:rsidR="00E713C6" w:rsidRPr="00805519" w:rsidRDefault="00547F6D" w:rsidP="00805519">
      <w:pPr>
        <w:pStyle w:val="PolLevel3"/>
      </w:pPr>
      <w:r>
        <w:t>A trauma informed public health approach lens shall be applied to the incident to unidentified underlying causes for the re</w:t>
      </w:r>
      <w:r w:rsidR="00763C93">
        <w:t xml:space="preserve">lative and preventative </w:t>
      </w:r>
      <w:r w:rsidR="001A4645">
        <w:t>interventions considered.</w:t>
      </w:r>
    </w:p>
    <w:p w14:paraId="5E579F62" w14:textId="77777777" w:rsidR="00D7494F" w:rsidRDefault="00D7494F" w:rsidP="00343828">
      <w:pPr>
        <w:rPr>
          <w:rFonts w:cs="Arial"/>
        </w:rPr>
      </w:pPr>
    </w:p>
    <w:p w14:paraId="6ECDA79E" w14:textId="72502176" w:rsidR="00D7494F" w:rsidRPr="00805519" w:rsidRDefault="008910F9" w:rsidP="00805519">
      <w:pPr>
        <w:pStyle w:val="PolLevel2"/>
        <w:rPr>
          <w:b/>
          <w:bCs/>
        </w:rPr>
      </w:pPr>
      <w:r w:rsidRPr="00805519">
        <w:rPr>
          <w:b/>
          <w:bCs/>
        </w:rPr>
        <w:t>Prevention of Theft and Criminal Damage</w:t>
      </w:r>
      <w:r w:rsidR="00D7494F" w:rsidRPr="00805519">
        <w:rPr>
          <w:b/>
          <w:bCs/>
        </w:rPr>
        <w:t>.</w:t>
      </w:r>
    </w:p>
    <w:p w14:paraId="53C2D651" w14:textId="77777777" w:rsidR="00D7494F" w:rsidRDefault="00D7494F" w:rsidP="00805519">
      <w:pPr>
        <w:rPr>
          <w:rFonts w:cs="Arial"/>
        </w:rPr>
      </w:pPr>
    </w:p>
    <w:p w14:paraId="563D2DCB" w14:textId="62A44A4A" w:rsidR="00D7494F" w:rsidRPr="00805519" w:rsidRDefault="008910F9" w:rsidP="00805519">
      <w:pPr>
        <w:pStyle w:val="PolLevel3"/>
      </w:pPr>
      <w:r w:rsidRPr="00805519">
        <w:t xml:space="preserve">The Trust </w:t>
      </w:r>
      <w:r w:rsidR="00214BAB" w:rsidRPr="00805519">
        <w:t>will</w:t>
      </w:r>
      <w:r w:rsidRPr="00805519">
        <w:t xml:space="preserve"> maintain, as far is reasonably practicable, a secure environment for the safekeeping of information, staff and patient property and equipment, vehicles, </w:t>
      </w:r>
      <w:r w:rsidR="003E7F01" w:rsidRPr="00805519">
        <w:t>property,</w:t>
      </w:r>
      <w:r w:rsidRPr="00805519">
        <w:t xml:space="preserve"> and other assets of the Trust.</w:t>
      </w:r>
    </w:p>
    <w:p w14:paraId="030DD0BD" w14:textId="77777777" w:rsidR="00D7494F" w:rsidRDefault="00D7494F" w:rsidP="00805519">
      <w:pPr>
        <w:rPr>
          <w:rFonts w:cs="Arial"/>
        </w:rPr>
      </w:pPr>
    </w:p>
    <w:p w14:paraId="1C0A9F48" w14:textId="6F67FACF" w:rsidR="007E5409" w:rsidRPr="00805519" w:rsidRDefault="008910F9" w:rsidP="00805519">
      <w:pPr>
        <w:pStyle w:val="PolLevel3"/>
      </w:pPr>
      <w:r w:rsidRPr="00805519">
        <w:t>Premises security Any employee entering Trust premises that is not</w:t>
      </w:r>
      <w:r w:rsidR="000473D9" w:rsidRPr="00805519">
        <w:t xml:space="preserve"> their usual place of work, </w:t>
      </w:r>
      <w:r w:rsidRPr="00805519">
        <w:t xml:space="preserve">or where their presence is not recorded </w:t>
      </w:r>
      <w:proofErr w:type="gramStart"/>
      <w:r w:rsidRPr="00805519">
        <w:t>by the use of</w:t>
      </w:r>
      <w:proofErr w:type="gramEnd"/>
      <w:r w:rsidRPr="00805519">
        <w:t xml:space="preserve"> the </w:t>
      </w:r>
      <w:r w:rsidR="00296E71" w:rsidRPr="00805519">
        <w:t xml:space="preserve">Trust </w:t>
      </w:r>
      <w:r w:rsidR="000473D9" w:rsidRPr="00805519">
        <w:t>access control system,</w:t>
      </w:r>
      <w:r w:rsidRPr="00805519">
        <w:t xml:space="preserve"> must sign a register noting the date and time of their visit.</w:t>
      </w:r>
    </w:p>
    <w:p w14:paraId="70C6810A" w14:textId="77777777" w:rsidR="007E5409" w:rsidRDefault="007E5409" w:rsidP="00805519">
      <w:pPr>
        <w:rPr>
          <w:rFonts w:cs="Arial"/>
        </w:rPr>
      </w:pPr>
    </w:p>
    <w:p w14:paraId="6E3C2C25" w14:textId="5E8D60C6" w:rsidR="007E5409" w:rsidRPr="00805519" w:rsidRDefault="008910F9" w:rsidP="00805519">
      <w:pPr>
        <w:pStyle w:val="PolLevel3"/>
      </w:pPr>
      <w:r w:rsidRPr="00805519">
        <w:t>Any visitor to premises used by the Trust who is not displaying a Trust identity pass must be signed into the building and given a visitors pass.</w:t>
      </w:r>
    </w:p>
    <w:p w14:paraId="7D758B2C" w14:textId="77777777" w:rsidR="007E5409" w:rsidRDefault="007E5409" w:rsidP="00805519">
      <w:pPr>
        <w:rPr>
          <w:rFonts w:cs="Arial"/>
        </w:rPr>
      </w:pPr>
    </w:p>
    <w:p w14:paraId="2851951F" w14:textId="15767BBC" w:rsidR="007E5409" w:rsidRPr="00805519" w:rsidRDefault="008910F9" w:rsidP="00805519">
      <w:pPr>
        <w:pStyle w:val="PolLevel3"/>
      </w:pPr>
      <w:r w:rsidRPr="00805519">
        <w:t xml:space="preserve">The Trust must encourage staff </w:t>
      </w:r>
      <w:r w:rsidR="00292198" w:rsidRPr="00805519">
        <w:t>to challenge</w:t>
      </w:r>
      <w:r w:rsidRPr="00805519">
        <w:t xml:space="preserve"> those not displaying either a Trust or visitors pass, </w:t>
      </w:r>
      <w:r w:rsidR="00292198" w:rsidRPr="00805519">
        <w:t xml:space="preserve">where safe to do so, </w:t>
      </w:r>
      <w:r w:rsidRPr="00805519">
        <w:t>asking them to identify themselves and the purpose of their visit.</w:t>
      </w:r>
    </w:p>
    <w:p w14:paraId="13F39E0C" w14:textId="77777777" w:rsidR="007E5409" w:rsidRDefault="007E5409" w:rsidP="00805519">
      <w:pPr>
        <w:rPr>
          <w:rFonts w:cs="Arial"/>
        </w:rPr>
      </w:pPr>
    </w:p>
    <w:p w14:paraId="58C59869" w14:textId="5CD2898C" w:rsidR="007E5409" w:rsidRPr="00805519" w:rsidRDefault="008910F9" w:rsidP="00805519">
      <w:pPr>
        <w:pStyle w:val="PolLevel3"/>
      </w:pPr>
      <w:r w:rsidRPr="00805519">
        <w:t>Wh</w:t>
      </w:r>
      <w:r w:rsidR="00B272C8" w:rsidRPr="00805519">
        <w:t>ilst stations are unoccupied, all</w:t>
      </w:r>
      <w:r w:rsidRPr="00805519">
        <w:t xml:space="preserve"> external doors and windows capable of allowing entry to a person and garage shutter doors must be securely closed. Staff should be mindful that many thefts are opportunistic</w:t>
      </w:r>
      <w:r w:rsidR="00292198" w:rsidRPr="00805519">
        <w:t>,</w:t>
      </w:r>
      <w:r w:rsidRPr="00805519">
        <w:t xml:space="preserve"> and the likelihood should be reduced by closing garage and internal doors, and ensuring windows are not left open.</w:t>
      </w:r>
    </w:p>
    <w:p w14:paraId="327EA6A5" w14:textId="77777777" w:rsidR="007E5409" w:rsidRDefault="007E5409" w:rsidP="00805519">
      <w:pPr>
        <w:rPr>
          <w:rFonts w:cs="Arial"/>
        </w:rPr>
      </w:pPr>
    </w:p>
    <w:p w14:paraId="2DB434A8" w14:textId="2F74E4EA" w:rsidR="007E5409" w:rsidRPr="00805519" w:rsidRDefault="008910F9" w:rsidP="00805519">
      <w:pPr>
        <w:pStyle w:val="PolLevel3"/>
      </w:pPr>
      <w:r w:rsidRPr="00805519">
        <w:rPr>
          <w:b/>
          <w:bCs/>
        </w:rPr>
        <w:t>Door codes</w:t>
      </w:r>
      <w:r w:rsidR="00214BAB" w:rsidRPr="00805519">
        <w:t xml:space="preserve">: </w:t>
      </w:r>
      <w:proofErr w:type="gramStart"/>
      <w:r w:rsidR="00A75C45" w:rsidRPr="00805519">
        <w:rPr>
          <w:bCs/>
        </w:rPr>
        <w:t>The majority of</w:t>
      </w:r>
      <w:proofErr w:type="gramEnd"/>
      <w:r w:rsidR="00A75C45" w:rsidRPr="00805519">
        <w:rPr>
          <w:bCs/>
        </w:rPr>
        <w:t xml:space="preserve"> Trust</w:t>
      </w:r>
      <w:r w:rsidR="00014DA2" w:rsidRPr="00805519">
        <w:rPr>
          <w:bCs/>
        </w:rPr>
        <w:t xml:space="preserve"> premises have swipe </w:t>
      </w:r>
      <w:proofErr w:type="gramStart"/>
      <w:r w:rsidR="00014DA2" w:rsidRPr="00805519">
        <w:rPr>
          <w:bCs/>
        </w:rPr>
        <w:t>access</w:t>
      </w:r>
      <w:proofErr w:type="gramEnd"/>
      <w:r w:rsidR="00A75C45" w:rsidRPr="00805519">
        <w:rPr>
          <w:bCs/>
        </w:rPr>
        <w:t xml:space="preserve"> </w:t>
      </w:r>
      <w:r w:rsidR="00014DA2" w:rsidRPr="00805519">
        <w:rPr>
          <w:bCs/>
        </w:rPr>
        <w:t>but w</w:t>
      </w:r>
      <w:r w:rsidRPr="00805519">
        <w:t>here numeric door codes are in use as means for access control, these shall be changed in the following circumstances:</w:t>
      </w:r>
    </w:p>
    <w:p w14:paraId="5114949D" w14:textId="77777777" w:rsidR="007E5409" w:rsidRDefault="007E5409" w:rsidP="00805519">
      <w:pPr>
        <w:rPr>
          <w:rFonts w:cs="Arial"/>
        </w:rPr>
      </w:pPr>
    </w:p>
    <w:p w14:paraId="281BECA5" w14:textId="7554CB9F" w:rsidR="007E5409" w:rsidRPr="00805519" w:rsidRDefault="008910F9" w:rsidP="00533B15">
      <w:pPr>
        <w:pStyle w:val="PolLevel4"/>
        <w:numPr>
          <w:ilvl w:val="3"/>
          <w:numId w:val="30"/>
        </w:numPr>
        <w:rPr>
          <w:rFonts w:cs="Arial"/>
        </w:rPr>
      </w:pPr>
      <w:r w:rsidRPr="00B272C8">
        <w:t>In response to a security incident at a location</w:t>
      </w:r>
      <w:r w:rsidR="007E5409">
        <w:t>.</w:t>
      </w:r>
    </w:p>
    <w:p w14:paraId="389816AD" w14:textId="77777777" w:rsidR="007E5409" w:rsidRDefault="007E5409" w:rsidP="00343828"/>
    <w:p w14:paraId="202BEBBF" w14:textId="52524118" w:rsidR="006C1B4B" w:rsidRDefault="008910F9" w:rsidP="00533B15">
      <w:pPr>
        <w:pStyle w:val="PolLevel4"/>
        <w:numPr>
          <w:ilvl w:val="3"/>
          <w:numId w:val="30"/>
        </w:numPr>
      </w:pPr>
      <w:r w:rsidRPr="00B272C8">
        <w:lastRenderedPageBreak/>
        <w:t>Where there are ground to believe the codes have been compromised</w:t>
      </w:r>
      <w:r w:rsidR="006C1B4B">
        <w:t>.</w:t>
      </w:r>
    </w:p>
    <w:p w14:paraId="212BC7E1" w14:textId="77777777" w:rsidR="006C1B4B" w:rsidRDefault="006C1B4B" w:rsidP="00343828"/>
    <w:p w14:paraId="53A1FFCE" w14:textId="4FFFBE13" w:rsidR="006C1B4B" w:rsidRDefault="008910F9" w:rsidP="00533B15">
      <w:pPr>
        <w:pStyle w:val="PolLevel4"/>
        <w:numPr>
          <w:ilvl w:val="3"/>
          <w:numId w:val="30"/>
        </w:numPr>
      </w:pPr>
      <w:r w:rsidRPr="00B272C8">
        <w:t>As part of a scheduled door code change facilitated by Estates</w:t>
      </w:r>
      <w:r w:rsidR="006C1B4B">
        <w:t>.</w:t>
      </w:r>
    </w:p>
    <w:p w14:paraId="7F30E676" w14:textId="77777777" w:rsidR="006C1B4B" w:rsidRDefault="006C1B4B" w:rsidP="00343828"/>
    <w:p w14:paraId="3493B003" w14:textId="08DF724F" w:rsidR="006C1B4B" w:rsidRPr="00805519" w:rsidRDefault="00F964A5" w:rsidP="00805519">
      <w:pPr>
        <w:pStyle w:val="PolLevel2"/>
        <w:rPr>
          <w:b/>
          <w:bCs/>
        </w:rPr>
      </w:pPr>
      <w:r w:rsidRPr="00805519">
        <w:rPr>
          <w:b/>
          <w:bCs/>
        </w:rPr>
        <w:t>Investigatory Powers Act (IPA)</w:t>
      </w:r>
    </w:p>
    <w:p w14:paraId="07271FAD" w14:textId="77777777" w:rsidR="006C1B4B" w:rsidRDefault="006C1B4B" w:rsidP="00343828">
      <w:pPr>
        <w:rPr>
          <w:rFonts w:cs="Arial"/>
        </w:rPr>
      </w:pPr>
    </w:p>
    <w:p w14:paraId="6D7303D6" w14:textId="20D42F4B" w:rsidR="006C1B4B" w:rsidRPr="00805519" w:rsidRDefault="00F964A5" w:rsidP="00805519">
      <w:pPr>
        <w:pStyle w:val="PolLevel3"/>
      </w:pPr>
      <w:r w:rsidRPr="00805519">
        <w:t xml:space="preserve">The IPA, formerly the Regulatory Powers Act (RIPA), provides law enforcement agencies and security services across the country with </w:t>
      </w:r>
      <w:r w:rsidR="00470E49" w:rsidRPr="00805519">
        <w:t xml:space="preserve">provisions for ‘serious </w:t>
      </w:r>
      <w:r w:rsidRPr="00805519">
        <w:t>crime</w:t>
      </w:r>
      <w:r w:rsidR="00470E49" w:rsidRPr="00805519">
        <w:t>’</w:t>
      </w:r>
      <w:r w:rsidRPr="00805519">
        <w:t xml:space="preserve"> detection investigations and powers that may supersede an individual’s privacy rights.</w:t>
      </w:r>
      <w:bookmarkStart w:id="91" w:name="_Hlk11670782"/>
    </w:p>
    <w:p w14:paraId="403BC201" w14:textId="77777777" w:rsidR="006C1B4B" w:rsidRDefault="006C1B4B" w:rsidP="00343828">
      <w:pPr>
        <w:rPr>
          <w:rFonts w:cs="Arial"/>
        </w:rPr>
      </w:pPr>
    </w:p>
    <w:p w14:paraId="1C2344D0" w14:textId="70672678" w:rsidR="006C1B4B" w:rsidRPr="00805519" w:rsidRDefault="00F964A5" w:rsidP="00805519">
      <w:pPr>
        <w:pStyle w:val="PolLevel3"/>
      </w:pPr>
      <w:r w:rsidRPr="00805519">
        <w:t>The Trust is responsible for having a</w:t>
      </w:r>
      <w:r w:rsidR="00470E49" w:rsidRPr="00805519">
        <w:t xml:space="preserve"> Senior Responsible</w:t>
      </w:r>
      <w:r w:rsidRPr="00805519">
        <w:t xml:space="preserve"> Officer </w:t>
      </w:r>
      <w:r w:rsidR="00470E49" w:rsidRPr="00805519">
        <w:t>(SRO), which</w:t>
      </w:r>
      <w:r w:rsidRPr="00805519">
        <w:t xml:space="preserve"> would be the senior post for security.</w:t>
      </w:r>
    </w:p>
    <w:p w14:paraId="592AE1BF" w14:textId="77777777" w:rsidR="006C1B4B" w:rsidRDefault="006C1B4B" w:rsidP="00343828">
      <w:pPr>
        <w:rPr>
          <w:rFonts w:cs="Arial"/>
        </w:rPr>
      </w:pPr>
    </w:p>
    <w:p w14:paraId="3ACC91E3" w14:textId="10138D92" w:rsidR="006C1B4B" w:rsidRPr="00805519" w:rsidRDefault="00F964A5" w:rsidP="00805519">
      <w:pPr>
        <w:pStyle w:val="PolLevel3"/>
      </w:pPr>
      <w:r w:rsidRPr="00805519">
        <w:t>Any investigation which may impact on privacy rights of another must be referred to the SRO/Trust Lead for Security for review and approval.</w:t>
      </w:r>
      <w:bookmarkEnd w:id="91"/>
    </w:p>
    <w:p w14:paraId="52590E83" w14:textId="77777777" w:rsidR="006C1B4B" w:rsidRDefault="006C1B4B" w:rsidP="00343828">
      <w:pPr>
        <w:rPr>
          <w:rFonts w:cs="Arial"/>
        </w:rPr>
      </w:pPr>
    </w:p>
    <w:p w14:paraId="2A36BA04" w14:textId="55059605" w:rsidR="006C1B4B" w:rsidRPr="00805519" w:rsidRDefault="00F964A5" w:rsidP="00805519">
      <w:pPr>
        <w:pStyle w:val="PolLevel3"/>
      </w:pPr>
      <w:r w:rsidRPr="00805519">
        <w:t xml:space="preserve">In such cases where an IPA investigation is </w:t>
      </w:r>
      <w:r w:rsidR="00470E49" w:rsidRPr="00805519">
        <w:t>suitable,</w:t>
      </w:r>
      <w:r w:rsidRPr="00805519">
        <w:t xml:space="preserve"> the Trust</w:t>
      </w:r>
      <w:r w:rsidR="00292198" w:rsidRPr="00805519">
        <w:t>’</w:t>
      </w:r>
      <w:r w:rsidRPr="00805519">
        <w:t xml:space="preserve">s Lead for Security is also the Single Point </w:t>
      </w:r>
      <w:r w:rsidR="00035A63" w:rsidRPr="00805519">
        <w:t>of</w:t>
      </w:r>
      <w:r w:rsidRPr="00805519">
        <w:t xml:space="preserve"> Contact (SPOC) who liaises with the Home Office to submit the application.</w:t>
      </w:r>
    </w:p>
    <w:p w14:paraId="3DA21F16" w14:textId="77777777" w:rsidR="006C1B4B" w:rsidRPr="00805519" w:rsidRDefault="006C1B4B" w:rsidP="00343828">
      <w:pPr>
        <w:rPr>
          <w:rFonts w:cs="Arial"/>
          <w:b/>
          <w:bCs/>
        </w:rPr>
      </w:pPr>
    </w:p>
    <w:p w14:paraId="02E23228" w14:textId="0B006D34" w:rsidR="006C1B4B" w:rsidRPr="00805519" w:rsidRDefault="008910F9" w:rsidP="00805519">
      <w:pPr>
        <w:pStyle w:val="PolLevel2"/>
      </w:pPr>
      <w:r w:rsidRPr="00805519">
        <w:rPr>
          <w:b/>
          <w:bCs/>
        </w:rPr>
        <w:t>Security of Personal Property</w:t>
      </w:r>
      <w:r w:rsidR="006C1B4B" w:rsidRPr="00805519">
        <w:t>.</w:t>
      </w:r>
    </w:p>
    <w:p w14:paraId="48E39D99" w14:textId="77777777" w:rsidR="006C1B4B" w:rsidRDefault="006C1B4B" w:rsidP="00343828">
      <w:pPr>
        <w:rPr>
          <w:rFonts w:cs="Arial"/>
        </w:rPr>
      </w:pPr>
    </w:p>
    <w:p w14:paraId="335FB04B" w14:textId="3AAAE36D" w:rsidR="006C1B4B" w:rsidRPr="00805519" w:rsidRDefault="008910F9" w:rsidP="00805519">
      <w:pPr>
        <w:pStyle w:val="PolLevel3"/>
      </w:pPr>
      <w:r w:rsidRPr="00805519">
        <w:t>All staff are responsible for their ow</w:t>
      </w:r>
      <w:r w:rsidR="00B272C8" w:rsidRPr="00805519">
        <w:t>n private property, including</w:t>
      </w:r>
      <w:r w:rsidRPr="00805519">
        <w:t xml:space="preserve"> storage and safe keeping.</w:t>
      </w:r>
    </w:p>
    <w:p w14:paraId="51658780" w14:textId="77777777" w:rsidR="006C1B4B" w:rsidRDefault="006C1B4B" w:rsidP="00343828">
      <w:pPr>
        <w:rPr>
          <w:rFonts w:cs="Arial"/>
        </w:rPr>
      </w:pPr>
    </w:p>
    <w:p w14:paraId="6192BA62" w14:textId="78FB07C2" w:rsidR="006C1B4B" w:rsidRPr="00805519" w:rsidRDefault="008910F9" w:rsidP="00805519">
      <w:pPr>
        <w:pStyle w:val="PolLevel3"/>
      </w:pPr>
      <w:r w:rsidRPr="00805519">
        <w:t xml:space="preserve">The Trust is responsible for </w:t>
      </w:r>
      <w:r w:rsidR="00C4717D" w:rsidRPr="00805519">
        <w:t>providing all</w:t>
      </w:r>
      <w:r w:rsidR="00453974" w:rsidRPr="00805519">
        <w:t xml:space="preserve"> staff</w:t>
      </w:r>
      <w:r w:rsidRPr="00805519">
        <w:t xml:space="preserve"> with </w:t>
      </w:r>
      <w:r w:rsidR="00453974" w:rsidRPr="00805519">
        <w:t>a means of secure storage</w:t>
      </w:r>
      <w:r w:rsidRPr="00805519">
        <w:t>, for staff to safely store personal items and clothing.</w:t>
      </w:r>
    </w:p>
    <w:p w14:paraId="43086C8C" w14:textId="77777777" w:rsidR="006C1B4B" w:rsidRDefault="006C1B4B" w:rsidP="00343828">
      <w:pPr>
        <w:rPr>
          <w:rFonts w:cs="Arial"/>
        </w:rPr>
      </w:pPr>
    </w:p>
    <w:p w14:paraId="704115E9" w14:textId="55052FD2" w:rsidR="006C1B4B" w:rsidRPr="00805519" w:rsidRDefault="008910F9" w:rsidP="00805519">
      <w:pPr>
        <w:pStyle w:val="PolLevel3"/>
      </w:pPr>
      <w:r w:rsidRPr="00805519">
        <w:t xml:space="preserve">Staff are advised not to unnecessarily bring personal items (particularly valuables) </w:t>
      </w:r>
      <w:r w:rsidR="00B272C8" w:rsidRPr="00805519">
        <w:t>onto Trust property.</w:t>
      </w:r>
    </w:p>
    <w:p w14:paraId="72451D14" w14:textId="77777777" w:rsidR="006C1B4B" w:rsidRDefault="006C1B4B" w:rsidP="00343828">
      <w:pPr>
        <w:rPr>
          <w:rFonts w:cs="Arial"/>
        </w:rPr>
      </w:pPr>
    </w:p>
    <w:p w14:paraId="01340784" w14:textId="0BF28781" w:rsidR="006C1B4B" w:rsidRPr="00805519" w:rsidRDefault="008910F9" w:rsidP="00805519">
      <w:pPr>
        <w:pStyle w:val="PolLevel3"/>
      </w:pPr>
      <w:r w:rsidRPr="00805519">
        <w:t>The Trust will not be responsible for the loss of or damage to staff private property brought onto site</w:t>
      </w:r>
      <w:r w:rsidR="00453974" w:rsidRPr="00805519">
        <w:t>, including their personal vehicle</w:t>
      </w:r>
      <w:r w:rsidRPr="00805519">
        <w:t xml:space="preserve"> or</w:t>
      </w:r>
      <w:r w:rsidR="00453974" w:rsidRPr="00805519">
        <w:t xml:space="preserve"> personal items</w:t>
      </w:r>
      <w:r w:rsidRPr="00805519">
        <w:t xml:space="preserve"> within a Trust vehicle.</w:t>
      </w:r>
    </w:p>
    <w:p w14:paraId="5DC009A8" w14:textId="77777777" w:rsidR="006C1B4B" w:rsidRDefault="006C1B4B" w:rsidP="00343828">
      <w:pPr>
        <w:rPr>
          <w:rFonts w:cs="Arial"/>
        </w:rPr>
      </w:pPr>
    </w:p>
    <w:p w14:paraId="1F17BF9A" w14:textId="7F1C8D29" w:rsidR="006C1B4B" w:rsidRPr="00805519" w:rsidRDefault="008910F9" w:rsidP="00805519">
      <w:pPr>
        <w:pStyle w:val="PolLevel2"/>
        <w:rPr>
          <w:b/>
          <w:bCs/>
        </w:rPr>
      </w:pPr>
      <w:r w:rsidRPr="00805519">
        <w:rPr>
          <w:b/>
          <w:bCs/>
        </w:rPr>
        <w:t>Medicines</w:t>
      </w:r>
      <w:r w:rsidR="00453974" w:rsidRPr="00805519">
        <w:rPr>
          <w:b/>
          <w:bCs/>
        </w:rPr>
        <w:t xml:space="preserve">, </w:t>
      </w:r>
      <w:r w:rsidRPr="00805519">
        <w:rPr>
          <w:b/>
          <w:bCs/>
        </w:rPr>
        <w:t xml:space="preserve">Drugs </w:t>
      </w:r>
      <w:r w:rsidR="00453974" w:rsidRPr="00805519">
        <w:rPr>
          <w:b/>
          <w:bCs/>
        </w:rPr>
        <w:t>and Gases</w:t>
      </w:r>
      <w:r w:rsidR="00805519">
        <w:rPr>
          <w:b/>
          <w:bCs/>
        </w:rPr>
        <w:t>.</w:t>
      </w:r>
    </w:p>
    <w:p w14:paraId="3BD7E5AE" w14:textId="77777777" w:rsidR="006C1B4B" w:rsidRDefault="006C1B4B" w:rsidP="00343828">
      <w:pPr>
        <w:rPr>
          <w:rFonts w:cs="Arial"/>
        </w:rPr>
      </w:pPr>
    </w:p>
    <w:p w14:paraId="49942AFE" w14:textId="6D1E3B5A" w:rsidR="006C1B4B" w:rsidRPr="00805519" w:rsidRDefault="008910F9" w:rsidP="00533B15">
      <w:pPr>
        <w:pStyle w:val="PolLevel3"/>
      </w:pPr>
      <w:r w:rsidRPr="00805519">
        <w:t>Wherever these are stored on Trust property, they will be kept securely in accordance with the</w:t>
      </w:r>
      <w:r w:rsidR="006C1B4B" w:rsidRPr="00805519">
        <w:t xml:space="preserve"> </w:t>
      </w:r>
      <w:r w:rsidRPr="00805519">
        <w:t xml:space="preserve">Trust’s Medicines Management </w:t>
      </w:r>
      <w:r w:rsidR="00453974" w:rsidRPr="00805519">
        <w:t xml:space="preserve">Policy </w:t>
      </w:r>
      <w:r w:rsidRPr="00805519">
        <w:t>and in line with the legal requirements for the storage of drugs (controlled or otherwise).</w:t>
      </w:r>
    </w:p>
    <w:p w14:paraId="0952A9D5" w14:textId="77777777" w:rsidR="006C1B4B" w:rsidRDefault="006C1B4B" w:rsidP="00533B15">
      <w:pPr>
        <w:rPr>
          <w:rFonts w:cs="Arial"/>
        </w:rPr>
      </w:pPr>
    </w:p>
    <w:p w14:paraId="20052FCE" w14:textId="54422A03" w:rsidR="006C1B4B" w:rsidRPr="00805519" w:rsidRDefault="00453974" w:rsidP="00533B15">
      <w:pPr>
        <w:pStyle w:val="PolLevel3"/>
      </w:pPr>
      <w:r w:rsidRPr="00805519">
        <w:t>The Security of medicines, drugs and gases on Trust sites and response vehicles is an essential responsibility of all operatives and the management for the site and operating area.</w:t>
      </w:r>
    </w:p>
    <w:p w14:paraId="7EFB2A94" w14:textId="77777777" w:rsidR="006C1B4B" w:rsidRDefault="006C1B4B" w:rsidP="00533B15">
      <w:pPr>
        <w:rPr>
          <w:rFonts w:cs="Arial"/>
        </w:rPr>
      </w:pPr>
    </w:p>
    <w:p w14:paraId="11CC363F" w14:textId="7CDDAD8A" w:rsidR="006C1B4B" w:rsidRPr="00805519" w:rsidRDefault="008910F9" w:rsidP="00533B15">
      <w:pPr>
        <w:pStyle w:val="PolLevel3"/>
      </w:pPr>
      <w:r w:rsidRPr="00805519">
        <w:t>Any discrepancy in the drugs register will be reported by staff to their line manager and an incident report form (</w:t>
      </w:r>
      <w:r w:rsidR="001A4645">
        <w:t>Datix</w:t>
      </w:r>
      <w:r w:rsidRPr="00805519">
        <w:t>) completed in line with the applicable policy and will prompt an immediate audit to confirm the shortfall.</w:t>
      </w:r>
    </w:p>
    <w:p w14:paraId="43E5CD9F" w14:textId="77777777" w:rsidR="006C1B4B" w:rsidRDefault="006C1B4B" w:rsidP="00533B15">
      <w:pPr>
        <w:rPr>
          <w:rFonts w:cs="Arial"/>
        </w:rPr>
      </w:pPr>
    </w:p>
    <w:p w14:paraId="007B647C" w14:textId="6249CA61" w:rsidR="006C1B4B" w:rsidRPr="00805519" w:rsidRDefault="008910F9" w:rsidP="00533B15">
      <w:pPr>
        <w:pStyle w:val="PolLevel3"/>
      </w:pPr>
      <w:r w:rsidRPr="00805519">
        <w:t xml:space="preserve">Where there is a shortfall, the Trust shall investigate at a level appropriate to the nature and extent of the loss, including but not limited to Local Management, the Police, Counter Fraud </w:t>
      </w:r>
      <w:r w:rsidR="00035A63" w:rsidRPr="00805519">
        <w:t>Investigation,</w:t>
      </w:r>
      <w:r w:rsidRPr="00805519">
        <w:t xml:space="preserve"> and investigation by the </w:t>
      </w:r>
      <w:r w:rsidR="00453974" w:rsidRPr="00805519">
        <w:t>Security</w:t>
      </w:r>
      <w:r w:rsidR="000F7545" w:rsidRPr="00805519">
        <w:t xml:space="preserve"> team</w:t>
      </w:r>
      <w:r w:rsidRPr="00805519">
        <w:t>.</w:t>
      </w:r>
    </w:p>
    <w:p w14:paraId="301A2FE6" w14:textId="77777777" w:rsidR="006C1B4B" w:rsidRDefault="006C1B4B" w:rsidP="00343828">
      <w:pPr>
        <w:rPr>
          <w:rFonts w:cs="Arial"/>
        </w:rPr>
      </w:pPr>
    </w:p>
    <w:p w14:paraId="5F9C7583" w14:textId="722EBB4A" w:rsidR="006C1B4B" w:rsidRPr="00805519" w:rsidRDefault="008910F9" w:rsidP="00805519">
      <w:pPr>
        <w:pStyle w:val="PolLevel2"/>
      </w:pPr>
      <w:r w:rsidRPr="00805519">
        <w:t>Any issues of broken or otherwise unusable drugs shall also be accounted for via an incident report form (</w:t>
      </w:r>
      <w:r w:rsidR="001A4645">
        <w:t>Datix</w:t>
      </w:r>
      <w:r w:rsidRPr="00805519">
        <w:t>)</w:t>
      </w:r>
      <w:r w:rsidR="00B272C8" w:rsidRPr="00805519">
        <w:t>.</w:t>
      </w:r>
    </w:p>
    <w:p w14:paraId="55DF5B8F" w14:textId="77777777" w:rsidR="006C1B4B" w:rsidRDefault="006C1B4B" w:rsidP="00343828">
      <w:pPr>
        <w:rPr>
          <w:rFonts w:cs="Arial"/>
        </w:rPr>
      </w:pPr>
    </w:p>
    <w:p w14:paraId="6F41D8DC" w14:textId="77AA2877" w:rsidR="00860753" w:rsidRPr="00805519" w:rsidRDefault="008910F9" w:rsidP="00805519">
      <w:pPr>
        <w:pStyle w:val="PolLevel2"/>
        <w:rPr>
          <w:b/>
          <w:bCs/>
        </w:rPr>
      </w:pPr>
      <w:r w:rsidRPr="00805519">
        <w:rPr>
          <w:b/>
          <w:bCs/>
        </w:rPr>
        <w:t>Vehicle security</w:t>
      </w:r>
    </w:p>
    <w:p w14:paraId="0CA4936A" w14:textId="77777777" w:rsidR="006C1B4B" w:rsidRDefault="006C1B4B" w:rsidP="00343828">
      <w:pPr>
        <w:rPr>
          <w:rFonts w:cs="Arial"/>
        </w:rPr>
      </w:pPr>
    </w:p>
    <w:p w14:paraId="7AB5D886" w14:textId="549C5638" w:rsidR="00860753" w:rsidRPr="00805519" w:rsidRDefault="008910F9" w:rsidP="00805519">
      <w:pPr>
        <w:pStyle w:val="PolLevel3"/>
      </w:pPr>
      <w:r w:rsidRPr="00805519">
        <w:t xml:space="preserve">Whenever vehicles used by Trust </w:t>
      </w:r>
      <w:r w:rsidR="00B07978" w:rsidRPr="00805519">
        <w:t xml:space="preserve">operatives </w:t>
      </w:r>
      <w:r w:rsidRPr="00805519">
        <w:t xml:space="preserve">are </w:t>
      </w:r>
      <w:r w:rsidR="00B07978" w:rsidRPr="00805519">
        <w:t xml:space="preserve">left unattended on or off a Trust site, ALL </w:t>
      </w:r>
      <w:r w:rsidRPr="00805519">
        <w:t xml:space="preserve">doors and windows must be locked where </w:t>
      </w:r>
      <w:r w:rsidR="00B272C8" w:rsidRPr="00805519">
        <w:t xml:space="preserve">reasonably </w:t>
      </w:r>
      <w:r w:rsidRPr="00805519">
        <w:t>practicable to do so.</w:t>
      </w:r>
    </w:p>
    <w:p w14:paraId="1D616EC5" w14:textId="77777777" w:rsidR="00860753" w:rsidRDefault="00860753" w:rsidP="00343828">
      <w:pPr>
        <w:rPr>
          <w:rFonts w:cs="Arial"/>
        </w:rPr>
      </w:pPr>
    </w:p>
    <w:p w14:paraId="0DF36F72" w14:textId="2D4078A7" w:rsidR="00860753" w:rsidRPr="00805519" w:rsidRDefault="008910F9" w:rsidP="00805519">
      <w:pPr>
        <w:pStyle w:val="PolLevel3"/>
      </w:pPr>
      <w:r w:rsidRPr="00805519">
        <w:t xml:space="preserve">It is recognised that vehicle security must be balanced with service provision, </w:t>
      </w:r>
      <w:proofErr w:type="gramStart"/>
      <w:r w:rsidRPr="00805519">
        <w:t>so as to</w:t>
      </w:r>
      <w:proofErr w:type="gramEnd"/>
      <w:r w:rsidRPr="00805519">
        <w:t xml:space="preserve"> allow a swift activation in the case of an emergency response</w:t>
      </w:r>
      <w:r w:rsidR="00B07978" w:rsidRPr="00805519">
        <w:t>, though should not be relied on where it is clear time was available to shut and/or lock a door using the remote on the keys</w:t>
      </w:r>
      <w:r w:rsidRPr="00805519">
        <w:t>. However</w:t>
      </w:r>
      <w:r w:rsidR="0023319B" w:rsidRPr="00805519">
        <w:t>,</w:t>
      </w:r>
      <w:r w:rsidRPr="00805519">
        <w:t xml:space="preserve"> vehicles not responding or involved in Trust business that is time critical must </w:t>
      </w:r>
      <w:r w:rsidR="00080354" w:rsidRPr="00805519">
        <w:t>be secured when unattended.</w:t>
      </w:r>
    </w:p>
    <w:p w14:paraId="6072183B" w14:textId="77777777" w:rsidR="00860753" w:rsidRDefault="00860753" w:rsidP="00343828">
      <w:pPr>
        <w:rPr>
          <w:rFonts w:cs="Arial"/>
        </w:rPr>
      </w:pPr>
    </w:p>
    <w:p w14:paraId="1163A7B2" w14:textId="4F07270E" w:rsidR="00860753" w:rsidRPr="00805519" w:rsidRDefault="008910F9" w:rsidP="00805519">
      <w:pPr>
        <w:pStyle w:val="PolLevel2"/>
        <w:rPr>
          <w:b/>
          <w:bCs/>
        </w:rPr>
      </w:pPr>
      <w:r w:rsidRPr="00805519">
        <w:rPr>
          <w:b/>
          <w:bCs/>
        </w:rPr>
        <w:t>Patient's Property</w:t>
      </w:r>
    </w:p>
    <w:p w14:paraId="245FA7C9" w14:textId="77777777" w:rsidR="00860753" w:rsidRDefault="00860753" w:rsidP="00343828">
      <w:pPr>
        <w:rPr>
          <w:rFonts w:cs="Arial"/>
        </w:rPr>
      </w:pPr>
    </w:p>
    <w:p w14:paraId="430F3538" w14:textId="3725133C" w:rsidR="00860753" w:rsidRPr="00805519" w:rsidRDefault="008910F9" w:rsidP="00805519">
      <w:pPr>
        <w:pStyle w:val="PolLevel3"/>
      </w:pPr>
      <w:r w:rsidRPr="00805519">
        <w:t xml:space="preserve">Staff should care for </w:t>
      </w:r>
      <w:r w:rsidR="00080354" w:rsidRPr="00805519">
        <w:t>any</w:t>
      </w:r>
      <w:r w:rsidRPr="00805519">
        <w:t xml:space="preserve"> property a patient brings onto the vehicle and should assist in ensuring it is transferred to where the patient is to receive treatment.</w:t>
      </w:r>
    </w:p>
    <w:p w14:paraId="0555FCA5" w14:textId="77777777" w:rsidR="00860753" w:rsidRDefault="00860753" w:rsidP="00343828">
      <w:pPr>
        <w:rPr>
          <w:rFonts w:cs="Arial"/>
        </w:rPr>
      </w:pPr>
    </w:p>
    <w:p w14:paraId="1019C1D5" w14:textId="397980FB" w:rsidR="00860753" w:rsidRPr="00805519" w:rsidRDefault="008910F9" w:rsidP="00805519">
      <w:pPr>
        <w:pStyle w:val="PolLevel3"/>
      </w:pPr>
      <w:r w:rsidRPr="00805519">
        <w:t>Patients should, wherever possible, be advised not to carry an excessive amount of property or valuables (</w:t>
      </w:r>
      <w:r w:rsidR="00C4717D" w:rsidRPr="00805519">
        <w:t>i.e.,</w:t>
      </w:r>
      <w:r w:rsidRPr="00805519">
        <w:t xml:space="preserve"> jewellery, expensive </w:t>
      </w:r>
      <w:r w:rsidR="00C4717D" w:rsidRPr="00805519">
        <w:t>items,</w:t>
      </w:r>
      <w:r w:rsidRPr="00805519">
        <w:t xml:space="preserve"> or large amounts of money).</w:t>
      </w:r>
    </w:p>
    <w:p w14:paraId="417287E2" w14:textId="77777777" w:rsidR="00860753" w:rsidRDefault="00860753" w:rsidP="00343828">
      <w:pPr>
        <w:rPr>
          <w:rFonts w:cs="Arial"/>
        </w:rPr>
      </w:pPr>
    </w:p>
    <w:p w14:paraId="5FB769EC" w14:textId="472DC1D9" w:rsidR="00860753" w:rsidRPr="00805519" w:rsidRDefault="008910F9" w:rsidP="00805519">
      <w:pPr>
        <w:pStyle w:val="PolLevel3"/>
      </w:pPr>
      <w:r w:rsidRPr="00805519">
        <w:t xml:space="preserve">The Trust will investigate all items reported as lost or missing by patients through its Patient </w:t>
      </w:r>
      <w:r w:rsidR="00B07978" w:rsidRPr="00805519">
        <w:t>Experience Team (PET).</w:t>
      </w:r>
    </w:p>
    <w:p w14:paraId="0A48E5B9" w14:textId="77777777" w:rsidR="00860753" w:rsidRDefault="00860753" w:rsidP="00343828">
      <w:pPr>
        <w:rPr>
          <w:rFonts w:cs="Arial"/>
        </w:rPr>
      </w:pPr>
    </w:p>
    <w:p w14:paraId="6812AC05" w14:textId="1A675C34" w:rsidR="00860753" w:rsidRPr="00805519" w:rsidRDefault="008910F9" w:rsidP="00805519">
      <w:pPr>
        <w:pStyle w:val="PolLevel2"/>
        <w:rPr>
          <w:b/>
          <w:bCs/>
        </w:rPr>
      </w:pPr>
      <w:r w:rsidRPr="00805519">
        <w:rPr>
          <w:b/>
          <w:bCs/>
        </w:rPr>
        <w:t>Identification Cards</w:t>
      </w:r>
    </w:p>
    <w:p w14:paraId="4C68268A" w14:textId="77777777" w:rsidR="00860753" w:rsidRPr="00805519" w:rsidRDefault="00860753" w:rsidP="00343828">
      <w:pPr>
        <w:rPr>
          <w:rFonts w:cs="Arial"/>
          <w:b/>
          <w:bCs/>
        </w:rPr>
      </w:pPr>
    </w:p>
    <w:p w14:paraId="798758FC" w14:textId="2F5E36C6" w:rsidR="00860753" w:rsidRPr="00805519" w:rsidRDefault="008910F9" w:rsidP="00805519">
      <w:pPr>
        <w:pStyle w:val="PolLevel3"/>
      </w:pPr>
      <w:r w:rsidRPr="00805519">
        <w:t xml:space="preserve">All </w:t>
      </w:r>
      <w:proofErr w:type="spellStart"/>
      <w:r w:rsidRPr="00805519">
        <w:t>SECAmb</w:t>
      </w:r>
      <w:proofErr w:type="spellEnd"/>
      <w:r w:rsidRPr="00805519">
        <w:t xml:space="preserve"> staff must have a means to identify themselves as legitimate Trust employees.</w:t>
      </w:r>
    </w:p>
    <w:p w14:paraId="05977D30" w14:textId="77777777" w:rsidR="00860753" w:rsidRDefault="00860753" w:rsidP="00343828">
      <w:pPr>
        <w:rPr>
          <w:rFonts w:cs="Arial"/>
        </w:rPr>
      </w:pPr>
    </w:p>
    <w:p w14:paraId="66672C90" w14:textId="586DC125" w:rsidR="00860753" w:rsidRPr="00805519" w:rsidRDefault="00B07978" w:rsidP="00805519">
      <w:pPr>
        <w:pStyle w:val="PolLevel3"/>
      </w:pPr>
      <w:r w:rsidRPr="00805519">
        <w:t xml:space="preserve">Operatives </w:t>
      </w:r>
      <w:r w:rsidR="008910F9" w:rsidRPr="00805519">
        <w:t xml:space="preserve">must </w:t>
      </w:r>
      <w:proofErr w:type="gramStart"/>
      <w:r w:rsidR="008910F9" w:rsidRPr="00805519">
        <w:t xml:space="preserve">carry their Identification (ID) Cards </w:t>
      </w:r>
      <w:r w:rsidR="009A0788" w:rsidRPr="00805519">
        <w:t xml:space="preserve">on their person </w:t>
      </w:r>
      <w:r w:rsidR="008910F9" w:rsidRPr="00805519">
        <w:t>at all times</w:t>
      </w:r>
      <w:proofErr w:type="gramEnd"/>
      <w:r w:rsidR="008910F9" w:rsidRPr="00805519">
        <w:t xml:space="preserve"> whilst on Trust business</w:t>
      </w:r>
      <w:r w:rsidR="00654982" w:rsidRPr="00805519">
        <w:t>,</w:t>
      </w:r>
      <w:r w:rsidR="008910F9" w:rsidRPr="00805519">
        <w:t xml:space="preserve"> </w:t>
      </w:r>
      <w:proofErr w:type="gramStart"/>
      <w:r w:rsidR="008910F9" w:rsidRPr="00805519">
        <w:t xml:space="preserve">as a </w:t>
      </w:r>
      <w:r w:rsidR="00654982" w:rsidRPr="00805519">
        <w:t>means to</w:t>
      </w:r>
      <w:proofErr w:type="gramEnd"/>
      <w:r w:rsidR="00654982" w:rsidRPr="00805519">
        <w:t xml:space="preserve"> confirm their identity.</w:t>
      </w:r>
    </w:p>
    <w:p w14:paraId="799CC961" w14:textId="77777777" w:rsidR="00860753" w:rsidRDefault="00860753" w:rsidP="00343828">
      <w:pPr>
        <w:rPr>
          <w:rFonts w:cs="Arial"/>
        </w:rPr>
      </w:pPr>
    </w:p>
    <w:p w14:paraId="26AC7855" w14:textId="05D3E9EA" w:rsidR="00860753" w:rsidRPr="00805519" w:rsidRDefault="008910F9" w:rsidP="00805519">
      <w:pPr>
        <w:pStyle w:val="PolLevel3"/>
      </w:pPr>
      <w:r w:rsidRPr="00805519">
        <w:t>Lost and stolen ID cards shall be re</w:t>
      </w:r>
      <w:r w:rsidR="009A0788" w:rsidRPr="00805519">
        <w:t>ported via the Trust</w:t>
      </w:r>
      <w:r w:rsidR="0023319B" w:rsidRPr="00805519">
        <w:t>’</w:t>
      </w:r>
      <w:r w:rsidR="009A0788" w:rsidRPr="00805519">
        <w:t xml:space="preserve">s </w:t>
      </w:r>
      <w:r w:rsidR="001A0682" w:rsidRPr="00805519">
        <w:t>i</w:t>
      </w:r>
      <w:r w:rsidR="009A0788" w:rsidRPr="00805519">
        <w:t>ncident r</w:t>
      </w:r>
      <w:r w:rsidRPr="00805519">
        <w:t xml:space="preserve">eporting </w:t>
      </w:r>
      <w:r w:rsidR="009A0788" w:rsidRPr="00805519">
        <w:t>processes</w:t>
      </w:r>
      <w:r w:rsidR="001A0682" w:rsidRPr="00805519">
        <w:t>, following</w:t>
      </w:r>
      <w:r w:rsidR="009A0788" w:rsidRPr="00805519">
        <w:t xml:space="preserve"> immediate contact with </w:t>
      </w:r>
      <w:r w:rsidR="00F67D64">
        <w:t xml:space="preserve">the </w:t>
      </w:r>
      <w:proofErr w:type="spellStart"/>
      <w:r w:rsidR="00F67D64">
        <w:t>NeedID</w:t>
      </w:r>
      <w:proofErr w:type="spellEnd"/>
      <w:r w:rsidR="00F67D64">
        <w:t xml:space="preserve"> mailbox</w:t>
      </w:r>
      <w:r w:rsidR="002C7DCC">
        <w:t xml:space="preserve"> during working hours (Mon-Fri 09:00 -17:00) and OSD</w:t>
      </w:r>
      <w:r w:rsidR="00EA574F">
        <w:t xml:space="preserve"> during out of hours</w:t>
      </w:r>
      <w:r w:rsidR="009A0788" w:rsidRPr="00805519">
        <w:t xml:space="preserve"> to ensure</w:t>
      </w:r>
      <w:r w:rsidRPr="00805519">
        <w:t xml:space="preserve"> all access rights </w:t>
      </w:r>
      <w:r w:rsidR="009A0788" w:rsidRPr="00805519">
        <w:t xml:space="preserve">are </w:t>
      </w:r>
      <w:r w:rsidRPr="00805519">
        <w:t>cancelled</w:t>
      </w:r>
      <w:r w:rsidR="009A0788" w:rsidRPr="00805519">
        <w:t xml:space="preserve"> and</w:t>
      </w:r>
      <w:r w:rsidR="001A0682" w:rsidRPr="00805519">
        <w:t xml:space="preserve"> to</w:t>
      </w:r>
      <w:r w:rsidRPr="00805519">
        <w:t xml:space="preserve"> prevent </w:t>
      </w:r>
      <w:r w:rsidR="001A0682" w:rsidRPr="00805519">
        <w:t xml:space="preserve">any </w:t>
      </w:r>
      <w:r w:rsidRPr="00805519">
        <w:t>unauthorised access.</w:t>
      </w:r>
    </w:p>
    <w:p w14:paraId="755ECCB1" w14:textId="77777777" w:rsidR="00860753" w:rsidRDefault="00860753" w:rsidP="00343828">
      <w:pPr>
        <w:rPr>
          <w:rFonts w:cs="Arial"/>
        </w:rPr>
      </w:pPr>
    </w:p>
    <w:p w14:paraId="7C19C197" w14:textId="419111A5" w:rsidR="00860753" w:rsidRPr="00805519" w:rsidRDefault="00654982" w:rsidP="00805519">
      <w:pPr>
        <w:pStyle w:val="PolLevel3"/>
      </w:pPr>
      <w:r w:rsidRPr="00805519">
        <w:lastRenderedPageBreak/>
        <w:t>ID cards must not, under any circumstances, be used (either for access or identification) by any other person than the person named on the c</w:t>
      </w:r>
      <w:r w:rsidR="001A0682" w:rsidRPr="00805519">
        <w:t>ard.</w:t>
      </w:r>
    </w:p>
    <w:p w14:paraId="31770FD3" w14:textId="77777777" w:rsidR="00860753" w:rsidRDefault="00860753" w:rsidP="00343828">
      <w:pPr>
        <w:rPr>
          <w:rFonts w:cs="Arial"/>
        </w:rPr>
      </w:pPr>
    </w:p>
    <w:p w14:paraId="680A370D" w14:textId="0324AFC0" w:rsidR="00860753" w:rsidRPr="00805519" w:rsidRDefault="00654982" w:rsidP="00805519">
      <w:pPr>
        <w:pStyle w:val="PolLevel3"/>
      </w:pPr>
      <w:r w:rsidRPr="00805519">
        <w:t xml:space="preserve">Dishonest/inappropriate use of ID cards and/or failure to report a lost ID card with access permissions would be deemed as a Trust security breach. Where deemed </w:t>
      </w:r>
      <w:r w:rsidR="00B07978" w:rsidRPr="00805519">
        <w:t>intentional, reckless or negligent</w:t>
      </w:r>
      <w:r w:rsidR="009A0788" w:rsidRPr="00805519">
        <w:t>, this</w:t>
      </w:r>
      <w:r w:rsidRPr="00805519">
        <w:t xml:space="preserve"> could be subject to disciplinary proceedings being invoked</w:t>
      </w:r>
      <w:r w:rsidR="009A0788" w:rsidRPr="00805519">
        <w:t xml:space="preserve"> under the Trust Disciplinary Policy</w:t>
      </w:r>
      <w:r w:rsidRPr="00805519">
        <w:t>.</w:t>
      </w:r>
    </w:p>
    <w:p w14:paraId="6819B213" w14:textId="77777777" w:rsidR="00860753" w:rsidRDefault="00860753" w:rsidP="00343828">
      <w:pPr>
        <w:rPr>
          <w:rFonts w:cs="Arial"/>
        </w:rPr>
      </w:pPr>
    </w:p>
    <w:p w14:paraId="38B3DE83" w14:textId="6AEED978" w:rsidR="00860753" w:rsidRPr="00860753" w:rsidRDefault="001533DD" w:rsidP="00805519">
      <w:pPr>
        <w:pStyle w:val="Heading1"/>
        <w:numPr>
          <w:ilvl w:val="0"/>
          <w:numId w:val="23"/>
        </w:numPr>
      </w:pPr>
      <w:bookmarkStart w:id="92" w:name="_Toc141096323"/>
      <w:r w:rsidRPr="00860753">
        <w:t>Management of incidents of theft or criminal damage</w:t>
      </w:r>
      <w:r w:rsidR="00860753" w:rsidRPr="00860753">
        <w:t>.</w:t>
      </w:r>
      <w:bookmarkEnd w:id="92"/>
    </w:p>
    <w:p w14:paraId="38C17C5A" w14:textId="77777777" w:rsidR="00860753" w:rsidRDefault="00860753" w:rsidP="00343828">
      <w:pPr>
        <w:rPr>
          <w:rFonts w:cs="Arial"/>
        </w:rPr>
      </w:pPr>
    </w:p>
    <w:p w14:paraId="4F2184E1" w14:textId="676C1729" w:rsidR="00860753" w:rsidRPr="00805519" w:rsidRDefault="001533DD" w:rsidP="00805519">
      <w:pPr>
        <w:pStyle w:val="PolLevel2"/>
        <w:rPr>
          <w:b/>
          <w:bCs/>
        </w:rPr>
      </w:pPr>
      <w:r w:rsidRPr="00805519">
        <w:rPr>
          <w:b/>
          <w:bCs/>
        </w:rPr>
        <w:t>Incident reporting</w:t>
      </w:r>
    </w:p>
    <w:p w14:paraId="41218763" w14:textId="77777777" w:rsidR="00860753" w:rsidRDefault="00860753" w:rsidP="00343828">
      <w:pPr>
        <w:rPr>
          <w:rFonts w:cs="Arial"/>
        </w:rPr>
      </w:pPr>
    </w:p>
    <w:p w14:paraId="36980FDB" w14:textId="53F38AD2" w:rsidR="00860753" w:rsidRPr="00805519" w:rsidRDefault="001533DD" w:rsidP="00805519">
      <w:pPr>
        <w:pStyle w:val="PolLevel3"/>
      </w:pPr>
      <w:r w:rsidRPr="00805519">
        <w:t>All incidents of theft and/or criminal damage, where either confirmed or suspected, must be reported via the Trust’s incident reporting system.</w:t>
      </w:r>
    </w:p>
    <w:p w14:paraId="12D9C8BF" w14:textId="77777777" w:rsidR="00860753" w:rsidRDefault="00860753" w:rsidP="00343828">
      <w:pPr>
        <w:rPr>
          <w:rFonts w:cs="Arial"/>
        </w:rPr>
      </w:pPr>
    </w:p>
    <w:p w14:paraId="5EA5F0CD" w14:textId="02A519C2" w:rsidR="00860753" w:rsidRPr="00805519" w:rsidRDefault="00B07978" w:rsidP="00805519">
      <w:pPr>
        <w:pStyle w:val="PolLevel3"/>
      </w:pPr>
      <w:r w:rsidRPr="00805519">
        <w:t>Security Management</w:t>
      </w:r>
      <w:r w:rsidR="001533DD" w:rsidRPr="00805519">
        <w:t xml:space="preserve"> must be notified at the earliest opportunity of the incident to allow contact to be made with the employee/manager to offer appropriate instructions on subsequent remedial steps that must be taken.</w:t>
      </w:r>
    </w:p>
    <w:p w14:paraId="5517DCF7" w14:textId="77777777" w:rsidR="00860753" w:rsidRDefault="00860753" w:rsidP="00343828">
      <w:pPr>
        <w:rPr>
          <w:rFonts w:cs="Arial"/>
        </w:rPr>
      </w:pPr>
    </w:p>
    <w:p w14:paraId="4B2ED12E" w14:textId="2DC17C5E" w:rsidR="00860753" w:rsidRPr="00805519" w:rsidRDefault="001533DD" w:rsidP="00805519">
      <w:pPr>
        <w:pStyle w:val="PolLevel3"/>
      </w:pPr>
      <w:r w:rsidRPr="00805519">
        <w:t xml:space="preserve">Where a crime has taken place, or is suspected to have taken place, the </w:t>
      </w:r>
      <w:r w:rsidR="009E5131" w:rsidRPr="00805519">
        <w:t>Security Team</w:t>
      </w:r>
      <w:r w:rsidR="00B07978" w:rsidRPr="00805519">
        <w:t xml:space="preserve"> </w:t>
      </w:r>
      <w:r w:rsidRPr="00805519">
        <w:t xml:space="preserve">will instruct the appropriate person (usually the responsible Manager, or person most knowledgeable of the incident) to contact the police and report the incident (See </w:t>
      </w:r>
      <w:r w:rsidR="006E5D5B">
        <w:t>3</w:t>
      </w:r>
      <w:r w:rsidR="00892D5E" w:rsidRPr="00805519">
        <w:t>.2.3)</w:t>
      </w:r>
      <w:r w:rsidR="00524721" w:rsidRPr="00805519">
        <w:t xml:space="preserve"> </w:t>
      </w:r>
      <w:r w:rsidRPr="00805519">
        <w:t>for the exception</w:t>
      </w:r>
      <w:r w:rsidR="00524721" w:rsidRPr="00805519">
        <w:t>s when an employee is implicated</w:t>
      </w:r>
      <w:r w:rsidRPr="00805519">
        <w:t>)</w:t>
      </w:r>
      <w:r w:rsidR="00827A3D" w:rsidRPr="00805519">
        <w:t>.</w:t>
      </w:r>
    </w:p>
    <w:p w14:paraId="684BBDFA" w14:textId="77777777" w:rsidR="00860753" w:rsidRDefault="00860753" w:rsidP="00343828">
      <w:pPr>
        <w:rPr>
          <w:rFonts w:cs="Arial"/>
        </w:rPr>
      </w:pPr>
    </w:p>
    <w:p w14:paraId="36E4132B" w14:textId="5E1BB716" w:rsidR="00860753" w:rsidRPr="00805519" w:rsidRDefault="008910F9" w:rsidP="00805519">
      <w:pPr>
        <w:pStyle w:val="PolLevel2"/>
        <w:rPr>
          <w:b/>
          <w:bCs/>
        </w:rPr>
      </w:pPr>
      <w:r w:rsidRPr="00805519">
        <w:rPr>
          <w:b/>
          <w:bCs/>
        </w:rPr>
        <w:t>Internal thefts/damage/security issues</w:t>
      </w:r>
    </w:p>
    <w:p w14:paraId="74BD4D43" w14:textId="77777777" w:rsidR="00860753" w:rsidRDefault="00860753" w:rsidP="00343828">
      <w:pPr>
        <w:rPr>
          <w:rFonts w:cs="Arial"/>
        </w:rPr>
      </w:pPr>
    </w:p>
    <w:p w14:paraId="5758E512" w14:textId="66C027A2" w:rsidR="00860753" w:rsidRPr="00805519" w:rsidRDefault="008910F9" w:rsidP="00805519">
      <w:pPr>
        <w:pStyle w:val="PolLevel3"/>
      </w:pPr>
      <w:r w:rsidRPr="00805519">
        <w:t xml:space="preserve">The Trust recognises that, with over </w:t>
      </w:r>
      <w:r w:rsidR="00FE1548" w:rsidRPr="00805519">
        <w:t>4500</w:t>
      </w:r>
      <w:r w:rsidRPr="00805519">
        <w:t xml:space="preserve"> </w:t>
      </w:r>
      <w:r w:rsidR="00B07978" w:rsidRPr="00805519">
        <w:t>operatives</w:t>
      </w:r>
      <w:r w:rsidRPr="00805519">
        <w:t>, there is a likelihood of criminal activities taking place within the Trust workforce</w:t>
      </w:r>
      <w:r w:rsidR="00524721" w:rsidRPr="00805519">
        <w:t xml:space="preserve"> that are</w:t>
      </w:r>
      <w:r w:rsidR="001533DD" w:rsidRPr="00805519">
        <w:t xml:space="preserve"> perpetrated</w:t>
      </w:r>
      <w:r w:rsidRPr="00805519">
        <w:t xml:space="preserve"> by </w:t>
      </w:r>
      <w:r w:rsidR="00080354" w:rsidRPr="00805519">
        <w:t xml:space="preserve">Trust </w:t>
      </w:r>
      <w:r w:rsidR="00B07978" w:rsidRPr="00805519">
        <w:t>operatives</w:t>
      </w:r>
      <w:r w:rsidR="001533DD" w:rsidRPr="00805519">
        <w:t>.</w:t>
      </w:r>
    </w:p>
    <w:p w14:paraId="4F23E6E2" w14:textId="77777777" w:rsidR="00860753" w:rsidRDefault="00860753" w:rsidP="00343828">
      <w:pPr>
        <w:rPr>
          <w:rFonts w:cs="Arial"/>
        </w:rPr>
      </w:pPr>
    </w:p>
    <w:p w14:paraId="2798B9FF" w14:textId="0858BBA9" w:rsidR="00886CB9" w:rsidRPr="00805519" w:rsidRDefault="008910F9" w:rsidP="00805519">
      <w:pPr>
        <w:pStyle w:val="PolLevel3"/>
      </w:pPr>
      <w:r w:rsidRPr="00805519">
        <w:t>These must be addressed in a robust consistent manner</w:t>
      </w:r>
      <w:r w:rsidR="001533DD" w:rsidRPr="00805519">
        <w:t xml:space="preserve">, </w:t>
      </w:r>
      <w:r w:rsidR="00892D5E" w:rsidRPr="00805519">
        <w:t>however,</w:t>
      </w:r>
      <w:r w:rsidR="001533DD" w:rsidRPr="00805519">
        <w:t xml:space="preserve"> should be done in conjunction with Human Resources</w:t>
      </w:r>
      <w:r w:rsidR="00524721" w:rsidRPr="00805519">
        <w:t xml:space="preserve"> and following the Disciplinary Policy, as well as Police </w:t>
      </w:r>
      <w:r w:rsidR="00827A3D" w:rsidRPr="00805519">
        <w:t>involvement.</w:t>
      </w:r>
    </w:p>
    <w:p w14:paraId="6E763768" w14:textId="77777777" w:rsidR="00886CB9" w:rsidRDefault="00886CB9" w:rsidP="00343828">
      <w:pPr>
        <w:rPr>
          <w:rFonts w:cs="Arial"/>
        </w:rPr>
      </w:pPr>
    </w:p>
    <w:p w14:paraId="2E85B391" w14:textId="29243E49" w:rsidR="00886CB9" w:rsidRPr="00805519" w:rsidRDefault="00524721" w:rsidP="00805519">
      <w:pPr>
        <w:pStyle w:val="PolLevel3"/>
      </w:pPr>
      <w:r w:rsidRPr="00805519">
        <w:t xml:space="preserve">Unlike incidents of criminality perpetrated by external persons to the Trust, which would always be reported to the police, where an employee is involved it would be </w:t>
      </w:r>
      <w:r w:rsidRPr="00805519">
        <w:rPr>
          <w:i/>
        </w:rPr>
        <w:t>usual</w:t>
      </w:r>
      <w:r w:rsidRPr="00805519">
        <w:t xml:space="preserve"> for the police to be involved; but the Trust may make the decision not to do so based on the nature and extent of the incident, as well as any other factor, and may instead choose to refer the matter to internal disciplinary proceedings either prior to, or instead of, police involvement.</w:t>
      </w:r>
    </w:p>
    <w:p w14:paraId="5E760EE7" w14:textId="77777777" w:rsidR="00886CB9" w:rsidRDefault="00886CB9" w:rsidP="00343828">
      <w:pPr>
        <w:rPr>
          <w:rFonts w:cs="Arial"/>
        </w:rPr>
      </w:pPr>
    </w:p>
    <w:p w14:paraId="15F9B541" w14:textId="59DB1DD9" w:rsidR="008910F9" w:rsidRPr="00805519" w:rsidRDefault="00524721" w:rsidP="00805519">
      <w:pPr>
        <w:pStyle w:val="PolLevel3"/>
      </w:pPr>
      <w:r w:rsidRPr="00805519">
        <w:rPr>
          <w:b/>
          <w:bCs/>
        </w:rPr>
        <w:t>Bag Searches</w:t>
      </w:r>
      <w:r w:rsidR="006B69BD" w:rsidRPr="00805519">
        <w:rPr>
          <w:b/>
          <w:bCs/>
        </w:rPr>
        <w:t>:</w:t>
      </w:r>
      <w:r w:rsidR="006B69BD" w:rsidRPr="00805519">
        <w:t xml:space="preserve"> </w:t>
      </w:r>
      <w:r w:rsidR="008910F9" w:rsidRPr="00805519">
        <w:t>The Trust does not have the contractual right to search employees</w:t>
      </w:r>
      <w:r w:rsidR="0023319B" w:rsidRPr="00805519">
        <w:t>’</w:t>
      </w:r>
      <w:r w:rsidR="008910F9" w:rsidRPr="00805519">
        <w:t xml:space="preserve"> belongings without their permission, but may engage with employees, or the police, where a search is deemed necessary by written permission of a </w:t>
      </w:r>
      <w:r w:rsidR="003F0708">
        <w:t>Tactical On Call</w:t>
      </w:r>
      <w:r w:rsidR="008910F9" w:rsidRPr="00805519">
        <w:t xml:space="preserve"> Officer,</w:t>
      </w:r>
      <w:r w:rsidR="001533DD" w:rsidRPr="00805519">
        <w:t xml:space="preserve"> as highlighted by the Security Management Procedure.</w:t>
      </w:r>
    </w:p>
    <w:p w14:paraId="5CA67241" w14:textId="77777777" w:rsidR="00805519" w:rsidRDefault="00805519" w:rsidP="00343828">
      <w:pPr>
        <w:rPr>
          <w:rFonts w:cs="Arial"/>
          <w:b/>
          <w:bCs/>
        </w:rPr>
      </w:pPr>
    </w:p>
    <w:p w14:paraId="3EE76568" w14:textId="675901C9" w:rsidR="00886CB9" w:rsidRPr="00BB51BC" w:rsidRDefault="00673A2C" w:rsidP="00805519">
      <w:pPr>
        <w:pStyle w:val="PolLevel2"/>
        <w:rPr>
          <w:b/>
          <w:bCs/>
        </w:rPr>
      </w:pPr>
      <w:r w:rsidRPr="00BB51BC">
        <w:rPr>
          <w:b/>
          <w:bCs/>
        </w:rPr>
        <w:t>Security Audits</w:t>
      </w:r>
    </w:p>
    <w:p w14:paraId="3FBC963F" w14:textId="77777777" w:rsidR="00886CB9" w:rsidRDefault="00886CB9" w:rsidP="00343828">
      <w:pPr>
        <w:rPr>
          <w:rFonts w:cs="Arial"/>
        </w:rPr>
      </w:pPr>
    </w:p>
    <w:p w14:paraId="36FD05D2" w14:textId="4E2A16E1" w:rsidR="00886CB9" w:rsidRPr="00BB51BC" w:rsidRDefault="008910F9" w:rsidP="00BB51BC">
      <w:pPr>
        <w:pStyle w:val="PolLevel3"/>
      </w:pPr>
      <w:r w:rsidRPr="00BB51BC">
        <w:t xml:space="preserve">The Trust will have a </w:t>
      </w:r>
      <w:r w:rsidR="00673A2C" w:rsidRPr="00BB51BC">
        <w:t>Security Audit</w:t>
      </w:r>
      <w:r w:rsidR="00B07978" w:rsidRPr="00BB51BC">
        <w:t xml:space="preserve"> conducted where the site is considered of a critical nature, a serious risk has been </w:t>
      </w:r>
      <w:proofErr w:type="gramStart"/>
      <w:r w:rsidR="00B07978" w:rsidRPr="00BB51BC">
        <w:t>identified</w:t>
      </w:r>
      <w:proofErr w:type="gramEnd"/>
      <w:r w:rsidR="00B07978" w:rsidRPr="00BB51BC">
        <w:t xml:space="preserve"> or an incident/breach of security has been identified.</w:t>
      </w:r>
      <w:r w:rsidRPr="00BB51BC">
        <w:t xml:space="preserve"> </w:t>
      </w:r>
      <w:r w:rsidR="00F564BC" w:rsidRPr="00BB51BC">
        <w:t xml:space="preserve">These will consider; </w:t>
      </w:r>
    </w:p>
    <w:p w14:paraId="3F8C9EDF" w14:textId="77777777" w:rsidR="00886CB9" w:rsidRDefault="00886CB9" w:rsidP="00343828">
      <w:pPr>
        <w:rPr>
          <w:rFonts w:cs="Arial"/>
        </w:rPr>
      </w:pPr>
    </w:p>
    <w:p w14:paraId="1FB580E4" w14:textId="23D50E26" w:rsidR="00886CB9" w:rsidRPr="00BB51BC" w:rsidRDefault="00F564BC" w:rsidP="00533B15">
      <w:pPr>
        <w:pStyle w:val="PolLevel4"/>
        <w:numPr>
          <w:ilvl w:val="3"/>
          <w:numId w:val="29"/>
        </w:numPr>
      </w:pPr>
      <w:r w:rsidRPr="00BB51BC">
        <w:t>Updating w</w:t>
      </w:r>
      <w:r w:rsidR="008910F9" w:rsidRPr="00BB51BC">
        <w:t>ithin at least three years of the last report</w:t>
      </w:r>
      <w:r w:rsidR="00886CB9" w:rsidRPr="00BB51BC">
        <w:t>.</w:t>
      </w:r>
    </w:p>
    <w:p w14:paraId="55652463" w14:textId="77777777" w:rsidR="00886CB9" w:rsidRDefault="00886CB9" w:rsidP="00343828">
      <w:pPr>
        <w:rPr>
          <w:rFonts w:cs="Arial"/>
        </w:rPr>
      </w:pPr>
    </w:p>
    <w:p w14:paraId="61591A62" w14:textId="2414C8CE" w:rsidR="00886CB9" w:rsidRPr="00BB51BC" w:rsidRDefault="00F564BC" w:rsidP="00533B15">
      <w:pPr>
        <w:pStyle w:val="PolLevel4"/>
        <w:numPr>
          <w:ilvl w:val="3"/>
          <w:numId w:val="29"/>
        </w:numPr>
      </w:pPr>
      <w:r w:rsidRPr="00BB51BC">
        <w:t>A</w:t>
      </w:r>
      <w:r w:rsidR="008910F9" w:rsidRPr="00BB51BC">
        <w:t>ny major or persistent security issue at that site</w:t>
      </w:r>
      <w:r w:rsidR="00886CB9" w:rsidRPr="00BB51BC">
        <w:t>.</w:t>
      </w:r>
    </w:p>
    <w:p w14:paraId="2BFFDD28" w14:textId="77777777" w:rsidR="00886CB9" w:rsidRDefault="00886CB9" w:rsidP="00343828">
      <w:pPr>
        <w:rPr>
          <w:rFonts w:cs="Arial"/>
        </w:rPr>
      </w:pPr>
    </w:p>
    <w:p w14:paraId="4F88A318" w14:textId="325618BD" w:rsidR="0003370F" w:rsidRPr="00BB51BC" w:rsidRDefault="00F564BC" w:rsidP="00533B15">
      <w:pPr>
        <w:pStyle w:val="PolLevel4"/>
        <w:numPr>
          <w:ilvl w:val="3"/>
          <w:numId w:val="29"/>
        </w:numPr>
      </w:pPr>
      <w:r w:rsidRPr="00BB51BC">
        <w:t>A</w:t>
      </w:r>
      <w:r w:rsidR="008910F9" w:rsidRPr="00BB51BC">
        <w:t>ny structural change to the site itself</w:t>
      </w:r>
      <w:r w:rsidR="00827A3D" w:rsidRPr="00BB51BC">
        <w:t>, or new site becoming operational</w:t>
      </w:r>
      <w:r w:rsidR="008910F9" w:rsidRPr="00BB51BC">
        <w:t>.</w:t>
      </w:r>
    </w:p>
    <w:p w14:paraId="4F0017A2" w14:textId="77777777" w:rsidR="0003370F" w:rsidRDefault="0003370F" w:rsidP="00343828">
      <w:pPr>
        <w:rPr>
          <w:rFonts w:cs="Arial"/>
        </w:rPr>
      </w:pPr>
    </w:p>
    <w:p w14:paraId="51B9D0F4" w14:textId="47E59E8B" w:rsidR="0003370F" w:rsidRPr="00E87DB7" w:rsidRDefault="008910F9" w:rsidP="00E87DB7">
      <w:pPr>
        <w:pStyle w:val="PolLevel2"/>
        <w:rPr>
          <w:b/>
          <w:bCs/>
        </w:rPr>
      </w:pPr>
      <w:r w:rsidRPr="00E87DB7">
        <w:rPr>
          <w:b/>
          <w:bCs/>
        </w:rPr>
        <w:t>Lockdown Requirements</w:t>
      </w:r>
    </w:p>
    <w:p w14:paraId="5E371057" w14:textId="77777777" w:rsidR="0003370F" w:rsidRDefault="0003370F" w:rsidP="00343828">
      <w:pPr>
        <w:rPr>
          <w:rFonts w:cs="Arial"/>
        </w:rPr>
      </w:pPr>
    </w:p>
    <w:p w14:paraId="18BF3152" w14:textId="60920E2F" w:rsidR="0003370F" w:rsidRPr="00E87DB7" w:rsidRDefault="008910F9" w:rsidP="00E87DB7">
      <w:pPr>
        <w:pStyle w:val="PolLevel3"/>
      </w:pPr>
      <w:r w:rsidRPr="00E87DB7">
        <w:t>The Trust has a requirement to undertake a lockdown risk profile for each of its organisational sites and other specific buildings/areas (such as Emergency Dispatch Centres</w:t>
      </w:r>
      <w:r w:rsidR="00524721" w:rsidRPr="00E87DB7">
        <w:t xml:space="preserve"> or Make Ready Centre</w:t>
      </w:r>
      <w:r w:rsidRPr="00E87DB7">
        <w:t>).</w:t>
      </w:r>
    </w:p>
    <w:p w14:paraId="4EDACF2A" w14:textId="77777777" w:rsidR="0003370F" w:rsidRDefault="0003370F" w:rsidP="00343828">
      <w:pPr>
        <w:rPr>
          <w:rFonts w:cs="Arial"/>
        </w:rPr>
      </w:pPr>
    </w:p>
    <w:p w14:paraId="00A82453" w14:textId="79D3D68D" w:rsidR="0003370F" w:rsidRPr="00E87DB7" w:rsidRDefault="008910F9" w:rsidP="00E87DB7">
      <w:pPr>
        <w:pStyle w:val="PolLevel3"/>
      </w:pPr>
      <w:r w:rsidRPr="00E87DB7">
        <w:t>The profile will consider the many aspects that are central to this theme as part of the Crime Reduction survey performed for each site (i.e. surrounding area/buildings, security of external doors, key control etc.)</w:t>
      </w:r>
    </w:p>
    <w:p w14:paraId="2E760B2B" w14:textId="77777777" w:rsidR="0003370F" w:rsidRDefault="0003370F" w:rsidP="00343828">
      <w:pPr>
        <w:rPr>
          <w:rFonts w:cs="Arial"/>
        </w:rPr>
      </w:pPr>
    </w:p>
    <w:p w14:paraId="1246F29B" w14:textId="4D86263F" w:rsidR="003D48AE" w:rsidRPr="00E87DB7" w:rsidRDefault="008910F9" w:rsidP="00E87DB7">
      <w:pPr>
        <w:pStyle w:val="PolLevel3"/>
      </w:pPr>
      <w:r w:rsidRPr="00E87DB7">
        <w:t>These individual assessments, once completed for each site within the Trust, shall be compiled into an organisational overview, highlighting specific and general areas of concern, with recommendations and subsequent Trust</w:t>
      </w:r>
      <w:r w:rsidR="00812DEA" w:rsidRPr="00E87DB7">
        <w:t xml:space="preserve"> </w:t>
      </w:r>
      <w:r w:rsidRPr="00E87DB7">
        <w:t>wide instructions for the lockdown process.</w:t>
      </w:r>
    </w:p>
    <w:p w14:paraId="1816E56A" w14:textId="77777777" w:rsidR="003D48AE" w:rsidRDefault="003D48AE" w:rsidP="00343828">
      <w:pPr>
        <w:rPr>
          <w:rFonts w:cs="Arial"/>
        </w:rPr>
      </w:pPr>
    </w:p>
    <w:p w14:paraId="0F914A95" w14:textId="46D5EDF7" w:rsidR="003D48AE" w:rsidRPr="00E87DB7" w:rsidRDefault="008910F9" w:rsidP="00E87DB7">
      <w:pPr>
        <w:pStyle w:val="PolLevel3"/>
      </w:pPr>
      <w:r w:rsidRPr="00E87DB7">
        <w:t>The Trust must be prepared to implement these lockdown procedures where necessary to secure an organisational site against a threat and have prepared business continuity plans to ensure the continuance of service provision.</w:t>
      </w:r>
    </w:p>
    <w:p w14:paraId="5B076337" w14:textId="77777777" w:rsidR="003D48AE" w:rsidRDefault="003D48AE" w:rsidP="00343828">
      <w:pPr>
        <w:rPr>
          <w:rFonts w:cs="Arial"/>
        </w:rPr>
      </w:pPr>
    </w:p>
    <w:p w14:paraId="641E9B80" w14:textId="3A49606C" w:rsidR="005F1A66" w:rsidRPr="00E87DB7" w:rsidRDefault="008910F9" w:rsidP="00E87DB7">
      <w:pPr>
        <w:pStyle w:val="PolLevel3"/>
      </w:pPr>
      <w:r w:rsidRPr="00E87DB7">
        <w:t xml:space="preserve">It is recognised that the Trust estate covers numerous buildings across three </w:t>
      </w:r>
      <w:r w:rsidR="003D48AE" w:rsidRPr="00E87DB7">
        <w:t>counties</w:t>
      </w:r>
      <w:r w:rsidR="0003370F" w:rsidRPr="00E87DB7">
        <w:t>. A</w:t>
      </w:r>
      <w:r w:rsidRPr="00E87DB7">
        <w:t xml:space="preserve">s such the deadline for completion is in line with those for the </w:t>
      </w:r>
      <w:r w:rsidR="00084D45" w:rsidRPr="00E87DB7">
        <w:t xml:space="preserve">Security </w:t>
      </w:r>
      <w:r w:rsidR="00BA575B" w:rsidRPr="00E87DB7">
        <w:t>Audits</w:t>
      </w:r>
      <w:r w:rsidR="00084D45" w:rsidRPr="00E87DB7">
        <w:t xml:space="preserve"> </w:t>
      </w:r>
      <w:r w:rsidRPr="00E87DB7">
        <w:t>above.</w:t>
      </w:r>
    </w:p>
    <w:p w14:paraId="1503C0FF" w14:textId="77777777" w:rsidR="005F1A66" w:rsidRDefault="005F1A66" w:rsidP="00343828">
      <w:pPr>
        <w:rPr>
          <w:rFonts w:cs="Arial"/>
        </w:rPr>
      </w:pPr>
    </w:p>
    <w:p w14:paraId="404D2017" w14:textId="05407637" w:rsidR="005F1A66" w:rsidRPr="000A45DB" w:rsidRDefault="008910F9" w:rsidP="000A45DB">
      <w:pPr>
        <w:pStyle w:val="PolLevel2"/>
        <w:rPr>
          <w:b/>
          <w:bCs/>
        </w:rPr>
      </w:pPr>
      <w:r w:rsidRPr="000A45DB">
        <w:rPr>
          <w:b/>
          <w:bCs/>
        </w:rPr>
        <w:t>Deterrence</w:t>
      </w:r>
      <w:r w:rsidR="00583DDB" w:rsidRPr="000A45DB">
        <w:rPr>
          <w:b/>
          <w:bCs/>
        </w:rPr>
        <w:t xml:space="preserve"> and Promotion of Security Issues</w:t>
      </w:r>
    </w:p>
    <w:p w14:paraId="25990CD1" w14:textId="77777777" w:rsidR="005F1A66" w:rsidRDefault="005F1A66" w:rsidP="00343828">
      <w:pPr>
        <w:rPr>
          <w:rFonts w:cs="Arial"/>
        </w:rPr>
      </w:pPr>
    </w:p>
    <w:p w14:paraId="32346FBF" w14:textId="69D4D916" w:rsidR="005F1A66" w:rsidRPr="00F27636" w:rsidRDefault="008910F9" w:rsidP="00F27636">
      <w:pPr>
        <w:pStyle w:val="PolLevel3"/>
      </w:pPr>
      <w:r w:rsidRPr="00F27636">
        <w:t>The Trust will publicise externally the unacceptability of violence and abuse against employees of the Trust with a view to making would</w:t>
      </w:r>
      <w:r w:rsidR="00230B37" w:rsidRPr="00F27636">
        <w:t>-</w:t>
      </w:r>
      <w:r w:rsidRPr="00F27636">
        <w:t xml:space="preserve">be </w:t>
      </w:r>
      <w:r w:rsidR="00827A3D" w:rsidRPr="00F27636">
        <w:t>offender’s</w:t>
      </w:r>
      <w:r w:rsidRPr="00F27636">
        <w:t xml:space="preserve"> aware</w:t>
      </w:r>
      <w:r w:rsidR="00827A3D" w:rsidRPr="00F27636">
        <w:t xml:space="preserve"> that</w:t>
      </w:r>
      <w:r w:rsidRPr="00F27636">
        <w:t xml:space="preserve"> violent and aggressive behaviour will not be tolerated, and where deliberate will result in criminal sanctions.</w:t>
      </w:r>
    </w:p>
    <w:p w14:paraId="13AD9992" w14:textId="77777777" w:rsidR="005F1A66" w:rsidRDefault="005F1A66" w:rsidP="00343828">
      <w:pPr>
        <w:rPr>
          <w:rFonts w:cs="Arial"/>
        </w:rPr>
      </w:pPr>
    </w:p>
    <w:p w14:paraId="1B8B1CDC" w14:textId="20AFCF3A" w:rsidR="005F1A66" w:rsidRPr="00F27636" w:rsidRDefault="008910F9" w:rsidP="00F27636">
      <w:pPr>
        <w:pStyle w:val="PolLevel3"/>
      </w:pPr>
      <w:r w:rsidRPr="00F27636">
        <w:t>The Trust will use internal means to highlight recent achievements and successes to staff concerning convictions and sanctions achieved</w:t>
      </w:r>
      <w:r w:rsidR="00583DDB" w:rsidRPr="00F27636">
        <w:t xml:space="preserve"> for any type of criminality concerning the Trust</w:t>
      </w:r>
      <w:r w:rsidRPr="00F27636">
        <w:t>.</w:t>
      </w:r>
    </w:p>
    <w:p w14:paraId="7D588EED" w14:textId="77777777" w:rsidR="005F1A66" w:rsidRDefault="005F1A66" w:rsidP="00343828">
      <w:pPr>
        <w:rPr>
          <w:rFonts w:cs="Arial"/>
        </w:rPr>
      </w:pPr>
    </w:p>
    <w:p w14:paraId="1F3C483F" w14:textId="42DEEDE0" w:rsidR="005F1A66" w:rsidRPr="00F27636" w:rsidRDefault="008910F9" w:rsidP="00F27636">
      <w:pPr>
        <w:pStyle w:val="PolLevel3"/>
      </w:pPr>
      <w:r w:rsidRPr="00F27636">
        <w:lastRenderedPageBreak/>
        <w:t xml:space="preserve">The Trust will also use internal means </w:t>
      </w:r>
      <w:r w:rsidR="00230B37" w:rsidRPr="00F27636">
        <w:t>to</w:t>
      </w:r>
      <w:r w:rsidRPr="00F27636">
        <w:t xml:space="preserve"> publicise security issues and encourage security mindedness </w:t>
      </w:r>
      <w:proofErr w:type="gramStart"/>
      <w:r w:rsidRPr="00F27636">
        <w:t>through the use of</w:t>
      </w:r>
      <w:proofErr w:type="gramEnd"/>
      <w:r w:rsidRPr="00F27636">
        <w:t xml:space="preserve"> reminders relating to issues and concerns that have been raised.</w:t>
      </w:r>
    </w:p>
    <w:p w14:paraId="7F94E86E" w14:textId="77777777" w:rsidR="005F1A66" w:rsidRDefault="005F1A66" w:rsidP="00343828">
      <w:pPr>
        <w:rPr>
          <w:rFonts w:cs="Arial"/>
        </w:rPr>
      </w:pPr>
    </w:p>
    <w:p w14:paraId="15F9B551" w14:textId="66AC6B15" w:rsidR="007A157F" w:rsidRPr="005F1A66" w:rsidRDefault="007A157F" w:rsidP="00F27636">
      <w:pPr>
        <w:pStyle w:val="Heading1"/>
        <w:numPr>
          <w:ilvl w:val="0"/>
          <w:numId w:val="23"/>
        </w:numPr>
        <w:rPr>
          <w:szCs w:val="20"/>
        </w:rPr>
      </w:pPr>
      <w:bookmarkStart w:id="93" w:name="_Toc141096324"/>
      <w:r w:rsidRPr="005F1A66">
        <w:t>Definitions</w:t>
      </w:r>
      <w:bookmarkEnd w:id="93"/>
    </w:p>
    <w:p w14:paraId="61D46D4E" w14:textId="77777777" w:rsidR="005F1A66" w:rsidRPr="002748EF" w:rsidRDefault="005F1A66" w:rsidP="00343828">
      <w:pPr>
        <w:rPr>
          <w:rFonts w:cs="Arial"/>
          <w:bCs/>
          <w:szCs w:val="28"/>
        </w:rPr>
      </w:pPr>
    </w:p>
    <w:tbl>
      <w:tblPr>
        <w:tblStyle w:val="TableGrid"/>
        <w:tblW w:w="0" w:type="auto"/>
        <w:tblLook w:val="04A0" w:firstRow="1" w:lastRow="0" w:firstColumn="1" w:lastColumn="0" w:noHBand="0" w:noVBand="1"/>
      </w:tblPr>
      <w:tblGrid>
        <w:gridCol w:w="2235"/>
        <w:gridCol w:w="6662"/>
      </w:tblGrid>
      <w:tr w:rsidR="002A0B13" w14:paraId="15F9B55C" w14:textId="77777777" w:rsidTr="00311663">
        <w:tc>
          <w:tcPr>
            <w:tcW w:w="2235" w:type="dxa"/>
          </w:tcPr>
          <w:p w14:paraId="15F9B552" w14:textId="77777777" w:rsidR="002A0B13" w:rsidRPr="00F27636" w:rsidRDefault="002A0B13" w:rsidP="00343828">
            <w:pPr>
              <w:rPr>
                <w:b/>
                <w:bCs/>
              </w:rPr>
            </w:pPr>
            <w:r w:rsidRPr="00F27636">
              <w:rPr>
                <w:rFonts w:cs="Arial"/>
                <w:b/>
                <w:bCs/>
              </w:rPr>
              <w:t xml:space="preserve">Assets: </w:t>
            </w:r>
          </w:p>
        </w:tc>
        <w:tc>
          <w:tcPr>
            <w:tcW w:w="6662" w:type="dxa"/>
          </w:tcPr>
          <w:p w14:paraId="15F9B553" w14:textId="77777777" w:rsidR="002A0B13" w:rsidRPr="002A0B13" w:rsidRDefault="002A0B13" w:rsidP="00343828">
            <w:pPr>
              <w:rPr>
                <w:rFonts w:cs="Arial"/>
              </w:rPr>
            </w:pPr>
            <w:r w:rsidRPr="002A0B13">
              <w:rPr>
                <w:rFonts w:cs="Arial"/>
              </w:rPr>
              <w:t>Within the Trust and the wider NHS, the terms “property”, “assets” and “equipment” are used interchangeably to describe NHS owned items, vehicles and estate.  For the sake of clarity in this policy, the terms above will relate to:</w:t>
            </w:r>
          </w:p>
          <w:p w14:paraId="15F9B554" w14:textId="77777777" w:rsidR="002A0B13" w:rsidRPr="007C6739" w:rsidRDefault="002A0B13" w:rsidP="00343828">
            <w:r w:rsidRPr="007C6739">
              <w:t>Trust buildings (owned and/or leased)</w:t>
            </w:r>
          </w:p>
          <w:p w14:paraId="15F9B555" w14:textId="77777777" w:rsidR="002A0B13" w:rsidRPr="007C6739" w:rsidRDefault="002A0B13" w:rsidP="00343828">
            <w:r w:rsidRPr="007C6739">
              <w:t>Trust vehicles of all types.</w:t>
            </w:r>
          </w:p>
          <w:p w14:paraId="15F9B556" w14:textId="77777777" w:rsidR="002A0B13" w:rsidRPr="007C6739" w:rsidRDefault="002A0B13" w:rsidP="00343828">
            <w:r w:rsidRPr="007C6739">
              <w:t>Fixtures, fittings and furniture within buildings and vehicles.</w:t>
            </w:r>
          </w:p>
          <w:p w14:paraId="15F9B557" w14:textId="77777777" w:rsidR="002A0B13" w:rsidRPr="007C6739" w:rsidRDefault="002A0B13" w:rsidP="00343828">
            <w:r w:rsidRPr="007C6739">
              <w:t>Medical and non-medical equipment of all types.</w:t>
            </w:r>
          </w:p>
          <w:p w14:paraId="15F9B558" w14:textId="77777777" w:rsidR="002A0B13" w:rsidRPr="007C6739" w:rsidRDefault="002A0B13" w:rsidP="00343828">
            <w:r w:rsidRPr="007C6739">
              <w:t>Consumables and supplies of all types procured by the Trust.</w:t>
            </w:r>
          </w:p>
          <w:p w14:paraId="15F9B559" w14:textId="77777777" w:rsidR="002A0B13" w:rsidRPr="007C6739" w:rsidRDefault="002A0B13" w:rsidP="00343828">
            <w:r w:rsidRPr="007C6739">
              <w:t>NHS equipment that is personally issued.</w:t>
            </w:r>
          </w:p>
          <w:p w14:paraId="15F9B55A" w14:textId="77777777" w:rsidR="002A0B13" w:rsidRPr="007C6739" w:rsidRDefault="002A0B13" w:rsidP="00343828">
            <w:r w:rsidRPr="007C6739">
              <w:t>Any other item that the Trust has procured.</w:t>
            </w:r>
          </w:p>
          <w:p w14:paraId="15F9B55B" w14:textId="77777777" w:rsidR="002A0B13" w:rsidRDefault="002A0B13" w:rsidP="00343828">
            <w:r>
              <w:rPr>
                <w:rFonts w:cs="Arial"/>
              </w:rPr>
              <w:t xml:space="preserve">Staff personal items and belongings are not considered Trust assets, however these are recognised as being items which the Trust should facilitate security measures for, </w:t>
            </w:r>
            <w:proofErr w:type="gramStart"/>
            <w:r>
              <w:rPr>
                <w:rFonts w:cs="Arial"/>
              </w:rPr>
              <w:t>where</w:t>
            </w:r>
            <w:proofErr w:type="gramEnd"/>
            <w:r>
              <w:rPr>
                <w:rFonts w:cs="Arial"/>
              </w:rPr>
              <w:t xml:space="preserve"> reasonably practicable, without bearing responsibility for their loss or damage</w:t>
            </w:r>
          </w:p>
        </w:tc>
      </w:tr>
      <w:tr w:rsidR="002A0B13" w14:paraId="15F9B55F" w14:textId="77777777" w:rsidTr="00311663">
        <w:tc>
          <w:tcPr>
            <w:tcW w:w="2235" w:type="dxa"/>
          </w:tcPr>
          <w:p w14:paraId="15F9B55D" w14:textId="77777777" w:rsidR="002A0B13" w:rsidRPr="00F27636" w:rsidRDefault="002A0B13" w:rsidP="00343828">
            <w:pPr>
              <w:rPr>
                <w:rFonts w:cs="Arial"/>
                <w:b/>
                <w:bCs/>
              </w:rPr>
            </w:pPr>
            <w:r w:rsidRPr="00F27636">
              <w:rPr>
                <w:rFonts w:cs="Arial"/>
                <w:b/>
                <w:bCs/>
              </w:rPr>
              <w:t>Security Incident</w:t>
            </w:r>
          </w:p>
        </w:tc>
        <w:tc>
          <w:tcPr>
            <w:tcW w:w="6662" w:type="dxa"/>
          </w:tcPr>
          <w:p w14:paraId="15F9B55E" w14:textId="4AA3803B" w:rsidR="002A0B13" w:rsidRPr="002A0B13" w:rsidRDefault="002A0B13" w:rsidP="00343828">
            <w:pPr>
              <w:rPr>
                <w:rFonts w:cs="Arial"/>
              </w:rPr>
            </w:pPr>
            <w:r w:rsidRPr="00904F07">
              <w:rPr>
                <w:rFonts w:cs="Arial"/>
              </w:rPr>
              <w:t xml:space="preserve">Any occasion where an </w:t>
            </w:r>
            <w:r w:rsidR="00F564BC">
              <w:rPr>
                <w:rFonts w:cs="Arial"/>
              </w:rPr>
              <w:t>operative</w:t>
            </w:r>
            <w:r w:rsidR="00F564BC" w:rsidRPr="00904F07">
              <w:rPr>
                <w:rFonts w:cs="Arial"/>
              </w:rPr>
              <w:t xml:space="preserve"> </w:t>
            </w:r>
            <w:r w:rsidRPr="00904F07">
              <w:rPr>
                <w:rFonts w:cs="Arial"/>
              </w:rPr>
              <w:t xml:space="preserve">is subjected to </w:t>
            </w:r>
            <w:r>
              <w:rPr>
                <w:rFonts w:cs="Arial"/>
              </w:rPr>
              <w:t>threatening behaviour</w:t>
            </w:r>
            <w:r w:rsidR="00F564BC">
              <w:rPr>
                <w:rFonts w:cs="Arial"/>
              </w:rPr>
              <w:t xml:space="preserve"> whilst operating for the Trust</w:t>
            </w:r>
            <w:r>
              <w:rPr>
                <w:rFonts w:cs="Arial"/>
              </w:rPr>
              <w:t xml:space="preserve">, </w:t>
            </w:r>
            <w:r w:rsidRPr="00904F07">
              <w:rPr>
                <w:rFonts w:cs="Arial"/>
              </w:rPr>
              <w:t>verbal abuse or physical assault or a situation where</w:t>
            </w:r>
            <w:r>
              <w:rPr>
                <w:rFonts w:cs="Arial"/>
              </w:rPr>
              <w:t xml:space="preserve"> Trust assets are</w:t>
            </w:r>
            <w:r w:rsidRPr="00904F07">
              <w:rPr>
                <w:rFonts w:cs="Arial"/>
              </w:rPr>
              <w:t xml:space="preserve"> stolen, damaged or</w:t>
            </w:r>
            <w:r>
              <w:rPr>
                <w:rFonts w:cs="Arial"/>
              </w:rPr>
              <w:t xml:space="preserve"> otherwise</w:t>
            </w:r>
            <w:r w:rsidRPr="00904F07">
              <w:rPr>
                <w:rFonts w:cs="Arial"/>
              </w:rPr>
              <w:t xml:space="preserve"> compromised</w:t>
            </w:r>
            <w:r>
              <w:rPr>
                <w:rFonts w:cs="Arial"/>
              </w:rPr>
              <w:t xml:space="preserve"> in a manner not authorised by the Trust</w:t>
            </w:r>
            <w:r w:rsidRPr="00904F07">
              <w:rPr>
                <w:rFonts w:cs="Arial"/>
              </w:rPr>
              <w:t>.</w:t>
            </w:r>
          </w:p>
        </w:tc>
      </w:tr>
      <w:tr w:rsidR="002A0B13" w14:paraId="15F9B562" w14:textId="77777777" w:rsidTr="00311663">
        <w:tc>
          <w:tcPr>
            <w:tcW w:w="2235" w:type="dxa"/>
          </w:tcPr>
          <w:p w14:paraId="15F9B560" w14:textId="77777777" w:rsidR="002A0B13" w:rsidRPr="00F27636" w:rsidRDefault="002A0B13" w:rsidP="00343828">
            <w:pPr>
              <w:rPr>
                <w:rFonts w:cs="Arial"/>
                <w:b/>
                <w:bCs/>
              </w:rPr>
            </w:pPr>
            <w:r w:rsidRPr="00F27636">
              <w:rPr>
                <w:rFonts w:cs="Arial"/>
                <w:b/>
                <w:bCs/>
              </w:rPr>
              <w:t>Theft</w:t>
            </w:r>
          </w:p>
        </w:tc>
        <w:tc>
          <w:tcPr>
            <w:tcW w:w="6662" w:type="dxa"/>
          </w:tcPr>
          <w:p w14:paraId="15F9B561" w14:textId="77777777" w:rsidR="002A0B13" w:rsidRPr="00904F07" w:rsidRDefault="002A0B13" w:rsidP="00343828">
            <w:pPr>
              <w:rPr>
                <w:rFonts w:cs="Arial"/>
              </w:rPr>
            </w:pPr>
            <w:r w:rsidRPr="00904F07">
              <w:rPr>
                <w:rFonts w:cs="Arial"/>
              </w:rPr>
              <w:t>The dishonest appropriation of property belonging to another with the intention of permanently depriving the other of it.</w:t>
            </w:r>
          </w:p>
        </w:tc>
      </w:tr>
      <w:tr w:rsidR="002A0B13" w14:paraId="15F9B565" w14:textId="77777777" w:rsidTr="00311663">
        <w:tc>
          <w:tcPr>
            <w:tcW w:w="2235" w:type="dxa"/>
          </w:tcPr>
          <w:p w14:paraId="15F9B563" w14:textId="77777777" w:rsidR="002A0B13" w:rsidRPr="00F27636" w:rsidRDefault="002A0B13" w:rsidP="00343828">
            <w:pPr>
              <w:rPr>
                <w:rFonts w:cs="Arial"/>
                <w:b/>
                <w:bCs/>
              </w:rPr>
            </w:pPr>
            <w:r w:rsidRPr="00F27636">
              <w:rPr>
                <w:rFonts w:cs="Arial"/>
                <w:b/>
                <w:bCs/>
              </w:rPr>
              <w:t>Criminal Damage</w:t>
            </w:r>
          </w:p>
        </w:tc>
        <w:tc>
          <w:tcPr>
            <w:tcW w:w="6662" w:type="dxa"/>
          </w:tcPr>
          <w:p w14:paraId="15F9B564" w14:textId="77777777" w:rsidR="002A0B13" w:rsidRPr="00904F07" w:rsidRDefault="002A0B13" w:rsidP="00343828">
            <w:pPr>
              <w:rPr>
                <w:rFonts w:cs="Arial"/>
              </w:rPr>
            </w:pPr>
            <w:r w:rsidRPr="00904F07">
              <w:rPr>
                <w:rFonts w:cs="Arial"/>
              </w:rPr>
              <w:t>W</w:t>
            </w:r>
            <w:r>
              <w:rPr>
                <w:rFonts w:cs="Arial"/>
              </w:rPr>
              <w:t>hen any individual, w</w:t>
            </w:r>
            <w:r w:rsidRPr="00904F07">
              <w:rPr>
                <w:rFonts w:cs="Arial"/>
              </w:rPr>
              <w:t xml:space="preserve">ithout lawful excuse, destroys or damages property belonging to </w:t>
            </w:r>
            <w:r>
              <w:rPr>
                <w:rFonts w:cs="Arial"/>
              </w:rPr>
              <w:t>another,</w:t>
            </w:r>
            <w:r w:rsidRPr="00904F07">
              <w:rPr>
                <w:rFonts w:cs="Arial"/>
              </w:rPr>
              <w:t xml:space="preserve"> intending to destroy or damage such property or being reckless as to whether such property is destroyed or damaged.</w:t>
            </w:r>
          </w:p>
        </w:tc>
      </w:tr>
      <w:tr w:rsidR="002A0B13" w14:paraId="15F9B568" w14:textId="77777777" w:rsidTr="00311663">
        <w:tc>
          <w:tcPr>
            <w:tcW w:w="2235" w:type="dxa"/>
          </w:tcPr>
          <w:p w14:paraId="15F9B566" w14:textId="77777777" w:rsidR="002A0B13" w:rsidRPr="00F27636" w:rsidRDefault="002A0B13" w:rsidP="00343828">
            <w:pPr>
              <w:rPr>
                <w:rFonts w:cs="Arial"/>
                <w:b/>
                <w:bCs/>
              </w:rPr>
            </w:pPr>
            <w:r w:rsidRPr="00F27636">
              <w:rPr>
                <w:rFonts w:cs="Arial"/>
                <w:b/>
                <w:bCs/>
              </w:rPr>
              <w:t>Physical Assault</w:t>
            </w:r>
          </w:p>
        </w:tc>
        <w:tc>
          <w:tcPr>
            <w:tcW w:w="6662" w:type="dxa"/>
          </w:tcPr>
          <w:p w14:paraId="15F9B567" w14:textId="77777777" w:rsidR="002A0B13" w:rsidRPr="00904F07" w:rsidRDefault="002A0B13" w:rsidP="00343828">
            <w:pPr>
              <w:rPr>
                <w:rFonts w:cs="Arial"/>
              </w:rPr>
            </w:pPr>
            <w:r w:rsidRPr="00904F07">
              <w:rPr>
                <w:rFonts w:cs="Arial"/>
              </w:rPr>
              <w:t>The intentional application of force to the person of another, without lawful justification, resulting in physical injury or personal discomfort.</w:t>
            </w:r>
          </w:p>
        </w:tc>
      </w:tr>
      <w:tr w:rsidR="002A0B13" w14:paraId="15F9B56B" w14:textId="77777777" w:rsidTr="00311663">
        <w:tc>
          <w:tcPr>
            <w:tcW w:w="2235" w:type="dxa"/>
          </w:tcPr>
          <w:p w14:paraId="15F9B569" w14:textId="7D7B2CD9" w:rsidR="002A0B13" w:rsidRPr="00F27636" w:rsidRDefault="002A0B13" w:rsidP="00343828">
            <w:pPr>
              <w:rPr>
                <w:rFonts w:cs="Arial"/>
                <w:b/>
                <w:bCs/>
              </w:rPr>
            </w:pPr>
            <w:r w:rsidRPr="00F27636">
              <w:rPr>
                <w:rFonts w:cs="Arial"/>
                <w:b/>
                <w:bCs/>
              </w:rPr>
              <w:t>Non</w:t>
            </w:r>
            <w:r w:rsidR="00230B37" w:rsidRPr="00F27636">
              <w:rPr>
                <w:rFonts w:cs="Arial"/>
                <w:b/>
                <w:bCs/>
              </w:rPr>
              <w:t>-</w:t>
            </w:r>
            <w:r w:rsidRPr="00F27636">
              <w:rPr>
                <w:rFonts w:cs="Arial"/>
                <w:b/>
                <w:bCs/>
              </w:rPr>
              <w:t>Physical Assault</w:t>
            </w:r>
          </w:p>
        </w:tc>
        <w:tc>
          <w:tcPr>
            <w:tcW w:w="6662" w:type="dxa"/>
          </w:tcPr>
          <w:p w14:paraId="15F9B56A" w14:textId="77777777" w:rsidR="002A0B13" w:rsidRPr="00904F07" w:rsidRDefault="002A0B13" w:rsidP="00343828">
            <w:pPr>
              <w:rPr>
                <w:rFonts w:cs="Arial"/>
              </w:rPr>
            </w:pPr>
            <w:r w:rsidRPr="00904F07">
              <w:rPr>
                <w:rFonts w:cs="Arial"/>
              </w:rPr>
              <w:t>The use of inappropriate words or behaviour causing distress and / or constituting harassment.</w:t>
            </w:r>
          </w:p>
        </w:tc>
      </w:tr>
      <w:tr w:rsidR="002A0B13" w14:paraId="15F9B56E" w14:textId="77777777" w:rsidTr="00311663">
        <w:tc>
          <w:tcPr>
            <w:tcW w:w="2235" w:type="dxa"/>
          </w:tcPr>
          <w:p w14:paraId="15F9B56C" w14:textId="77777777" w:rsidR="002A0B13" w:rsidRPr="00F27636" w:rsidRDefault="002A0B13" w:rsidP="00343828">
            <w:pPr>
              <w:rPr>
                <w:rFonts w:cs="Arial"/>
                <w:b/>
                <w:bCs/>
              </w:rPr>
            </w:pPr>
            <w:r w:rsidRPr="00F27636">
              <w:rPr>
                <w:rFonts w:cs="Arial"/>
                <w:b/>
                <w:bCs/>
              </w:rPr>
              <w:t>Dynamic Risk Assessment</w:t>
            </w:r>
          </w:p>
        </w:tc>
        <w:tc>
          <w:tcPr>
            <w:tcW w:w="6662" w:type="dxa"/>
          </w:tcPr>
          <w:p w14:paraId="15F9B56D" w14:textId="77777777" w:rsidR="002A0B13" w:rsidRPr="00904F07" w:rsidRDefault="002A0B13" w:rsidP="00343828">
            <w:pPr>
              <w:rPr>
                <w:rFonts w:cs="Arial"/>
              </w:rPr>
            </w:pPr>
            <w:r w:rsidRPr="00CA3D52">
              <w:rPr>
                <w:rFonts w:cs="Arial"/>
              </w:rPr>
              <w:t>For the</w:t>
            </w:r>
            <w:r>
              <w:rPr>
                <w:rFonts w:cs="Arial"/>
              </w:rPr>
              <w:t xml:space="preserve"> purposes of this document and the focus on protection against violence, defined as t</w:t>
            </w:r>
            <w:r w:rsidRPr="00CA3D52">
              <w:rPr>
                <w:rFonts w:cs="Arial"/>
              </w:rPr>
              <w:t xml:space="preserve">he continuous assessment of risk </w:t>
            </w:r>
            <w:r>
              <w:rPr>
                <w:rFonts w:cs="Arial"/>
              </w:rPr>
              <w:t>and safety</w:t>
            </w:r>
            <w:r w:rsidRPr="00CA3D52">
              <w:rPr>
                <w:rFonts w:cs="Arial"/>
              </w:rPr>
              <w:t xml:space="preserve"> </w:t>
            </w:r>
            <w:r>
              <w:rPr>
                <w:rFonts w:cs="Arial"/>
              </w:rPr>
              <w:t>in relation to</w:t>
            </w:r>
            <w:r w:rsidRPr="00CA3D52">
              <w:rPr>
                <w:rFonts w:cs="Arial"/>
              </w:rPr>
              <w:t xml:space="preserve"> </w:t>
            </w:r>
            <w:hyperlink r:id="rId17" w:history="1">
              <w:r w:rsidRPr="00CA3D52">
                <w:rPr>
                  <w:rFonts w:cs="Arial"/>
                </w:rPr>
                <w:t>changes</w:t>
              </w:r>
            </w:hyperlink>
            <w:r w:rsidRPr="00CA3D52">
              <w:rPr>
                <w:rFonts w:cs="Arial"/>
              </w:rPr>
              <w:t xml:space="preserve"> in the </w:t>
            </w:r>
            <w:hyperlink r:id="rId18" w:history="1">
              <w:r w:rsidRPr="00CA3D52">
                <w:rPr>
                  <w:rFonts w:cs="Arial"/>
                </w:rPr>
                <w:t>environment</w:t>
              </w:r>
            </w:hyperlink>
            <w:r>
              <w:rPr>
                <w:rFonts w:cs="Arial"/>
              </w:rPr>
              <w:t xml:space="preserve"> and gathered information in relation to potential threats; used as</w:t>
            </w:r>
            <w:r w:rsidRPr="00CA3D52">
              <w:rPr>
                <w:rFonts w:cs="Arial"/>
              </w:rPr>
              <w:t xml:space="preserve"> a basis for deciding the safet</w:t>
            </w:r>
            <w:r>
              <w:rPr>
                <w:rFonts w:cs="Arial"/>
              </w:rPr>
              <w:t>y of entering, remaining</w:t>
            </w:r>
            <w:r w:rsidRPr="00CA3D52">
              <w:rPr>
                <w:rFonts w:cs="Arial"/>
              </w:rPr>
              <w:t xml:space="preserve"> or withdrawing</w:t>
            </w:r>
            <w:r>
              <w:rPr>
                <w:rFonts w:cs="Arial"/>
              </w:rPr>
              <w:t xml:space="preserve"> from the environment.</w:t>
            </w:r>
          </w:p>
        </w:tc>
      </w:tr>
    </w:tbl>
    <w:p w14:paraId="0DF6D888" w14:textId="77777777" w:rsidR="005F1A66" w:rsidRDefault="005F1A66" w:rsidP="00343828">
      <w:pPr>
        <w:rPr>
          <w:rFonts w:cs="Arial"/>
          <w:bCs/>
          <w:szCs w:val="28"/>
        </w:rPr>
      </w:pPr>
    </w:p>
    <w:p w14:paraId="3DB53E7A" w14:textId="51DDA502" w:rsidR="005F1A66" w:rsidRPr="005F1A66" w:rsidRDefault="002748EF" w:rsidP="00F27636">
      <w:pPr>
        <w:pStyle w:val="Heading1"/>
        <w:numPr>
          <w:ilvl w:val="0"/>
          <w:numId w:val="23"/>
        </w:numPr>
      </w:pPr>
      <w:bookmarkStart w:id="94" w:name="_Toc141096325"/>
      <w:r w:rsidRPr="005F1A66">
        <w:lastRenderedPageBreak/>
        <w:t>Responsibilities</w:t>
      </w:r>
      <w:bookmarkEnd w:id="94"/>
    </w:p>
    <w:p w14:paraId="17684B3E" w14:textId="77777777" w:rsidR="005F1A66" w:rsidRDefault="005F1A66" w:rsidP="00343828">
      <w:pPr>
        <w:rPr>
          <w:rFonts w:cs="Arial"/>
          <w:bCs/>
          <w:szCs w:val="28"/>
        </w:rPr>
      </w:pPr>
    </w:p>
    <w:p w14:paraId="5484BC9C" w14:textId="6D2AA0D0" w:rsidR="005F1A66" w:rsidRPr="00F27636" w:rsidRDefault="002518AE" w:rsidP="00F27636">
      <w:pPr>
        <w:pStyle w:val="PolLevel2"/>
        <w:rPr>
          <w:b/>
          <w:bCs/>
          <w:szCs w:val="28"/>
        </w:rPr>
      </w:pPr>
      <w:r w:rsidRPr="00F27636">
        <w:rPr>
          <w:b/>
          <w:bCs/>
        </w:rPr>
        <w:t>Chief Executive Officer</w:t>
      </w:r>
    </w:p>
    <w:p w14:paraId="761FEA50" w14:textId="77777777" w:rsidR="005F1A66" w:rsidRDefault="005F1A66" w:rsidP="00343828">
      <w:pPr>
        <w:rPr>
          <w:rFonts w:cs="Arial"/>
        </w:rPr>
      </w:pPr>
    </w:p>
    <w:p w14:paraId="15722699" w14:textId="03448145" w:rsidR="005F1A66" w:rsidRPr="00F27636" w:rsidRDefault="00D7389E" w:rsidP="00F27636">
      <w:pPr>
        <w:pStyle w:val="PolLevel3"/>
      </w:pPr>
      <w:r w:rsidRPr="00F27636">
        <w:t>Ultimately Responsible for all policies and procedures within the Trust</w:t>
      </w:r>
      <w:r w:rsidR="002277F8" w:rsidRPr="00F27636">
        <w:t>, including those relating to the reduction of violence and aggression to Trust staff and ensuring suitable redress is pursued.</w:t>
      </w:r>
    </w:p>
    <w:p w14:paraId="37CB01AA" w14:textId="77777777" w:rsidR="005F1A66" w:rsidRDefault="005F1A66" w:rsidP="00343828">
      <w:pPr>
        <w:rPr>
          <w:rFonts w:cs="Arial"/>
          <w:bCs/>
        </w:rPr>
      </w:pPr>
    </w:p>
    <w:p w14:paraId="761BD39E" w14:textId="573F707B" w:rsidR="005F1A66" w:rsidRPr="00F27636" w:rsidRDefault="005D7921" w:rsidP="00F27636">
      <w:pPr>
        <w:pStyle w:val="PolLevel2"/>
        <w:rPr>
          <w:b/>
          <w:bCs/>
        </w:rPr>
      </w:pPr>
      <w:r w:rsidRPr="00F27636">
        <w:rPr>
          <w:b/>
          <w:bCs/>
        </w:rPr>
        <w:t>The Trust Board</w:t>
      </w:r>
    </w:p>
    <w:p w14:paraId="1A1288BC" w14:textId="77777777" w:rsidR="005F1A66" w:rsidRDefault="005F1A66" w:rsidP="00343828">
      <w:pPr>
        <w:rPr>
          <w:rFonts w:cs="Arial"/>
        </w:rPr>
      </w:pPr>
    </w:p>
    <w:p w14:paraId="77975C1D" w14:textId="2492429F" w:rsidR="005F1A66" w:rsidRPr="00F27636" w:rsidRDefault="005D7921" w:rsidP="00F27636">
      <w:pPr>
        <w:pStyle w:val="PolLevel3"/>
      </w:pPr>
      <w:r w:rsidRPr="00F27636">
        <w:t xml:space="preserve">The Trust Board is responsible for ensuring that the </w:t>
      </w:r>
      <w:r w:rsidR="009176BF" w:rsidRPr="00F27636">
        <w:t>Violence Prevention and Reduction Strategy is implement and tracking progress of its delivery.</w:t>
      </w:r>
    </w:p>
    <w:p w14:paraId="4B830168" w14:textId="77777777" w:rsidR="005F1A66" w:rsidRDefault="005F1A66" w:rsidP="00343828">
      <w:pPr>
        <w:rPr>
          <w:rFonts w:cs="Arial"/>
          <w:bCs/>
        </w:rPr>
      </w:pPr>
    </w:p>
    <w:p w14:paraId="1595A0E9" w14:textId="780343A2" w:rsidR="005F1A66" w:rsidRPr="00F27636" w:rsidRDefault="00103CF5" w:rsidP="00F27636">
      <w:pPr>
        <w:pStyle w:val="PolLevel3"/>
        <w:rPr>
          <w:bCs/>
        </w:rPr>
      </w:pPr>
      <w:r>
        <w:rPr>
          <w:b/>
          <w:bCs/>
        </w:rPr>
        <w:t>Chief N</w:t>
      </w:r>
      <w:r w:rsidR="00DB51C0">
        <w:rPr>
          <w:b/>
          <w:bCs/>
        </w:rPr>
        <w:t>ursing Officer</w:t>
      </w:r>
      <w:r w:rsidR="002A0B13" w:rsidRPr="00F27636">
        <w:t xml:space="preserve">:  </w:t>
      </w:r>
      <w:r w:rsidR="00524721" w:rsidRPr="00F27636">
        <w:t xml:space="preserve">Responsible for promoting security at Board level, and for monitoring and ensuring compliance with the requirements and directions issued by the Secretary of State, the Department of Health and NHS </w:t>
      </w:r>
      <w:r w:rsidR="00F564BC" w:rsidRPr="00F27636">
        <w:t xml:space="preserve">England </w:t>
      </w:r>
      <w:r w:rsidR="00524721" w:rsidRPr="00F27636">
        <w:t>relating to security.</w:t>
      </w:r>
    </w:p>
    <w:p w14:paraId="57CB2D28" w14:textId="77777777" w:rsidR="005F1A66" w:rsidRDefault="005F1A66" w:rsidP="00343828">
      <w:pPr>
        <w:rPr>
          <w:rFonts w:cs="Arial"/>
        </w:rPr>
      </w:pPr>
    </w:p>
    <w:p w14:paraId="4A3D361A" w14:textId="284AC743" w:rsidR="006044C1" w:rsidRPr="00F27636" w:rsidRDefault="00583DDB" w:rsidP="00F27636">
      <w:pPr>
        <w:pStyle w:val="PolLevel3"/>
      </w:pPr>
      <w:r w:rsidRPr="00F27636">
        <w:rPr>
          <w:b/>
          <w:bCs/>
        </w:rPr>
        <w:t>Directors</w:t>
      </w:r>
      <w:r w:rsidR="002A0B13" w:rsidRPr="00F27636">
        <w:t xml:space="preserve">:  </w:t>
      </w:r>
      <w:r w:rsidRPr="00F27636">
        <w:t>Responsible for ensuring that the principles and guidelines issued to assist in preventing and detecting incidents of violence and abuse, or those for enhancing the security of Trust or private property are implemented by their directorates.</w:t>
      </w:r>
    </w:p>
    <w:p w14:paraId="30F34804" w14:textId="77777777" w:rsidR="006044C1" w:rsidRDefault="006044C1" w:rsidP="00343828">
      <w:pPr>
        <w:rPr>
          <w:rFonts w:cs="Arial"/>
        </w:rPr>
      </w:pPr>
    </w:p>
    <w:p w14:paraId="46C79057" w14:textId="295159EB" w:rsidR="006044C1" w:rsidRPr="00F27636" w:rsidRDefault="00F564BC" w:rsidP="00F27636">
      <w:pPr>
        <w:pStyle w:val="PolLevel2"/>
        <w:rPr>
          <w:b/>
          <w:bCs/>
        </w:rPr>
      </w:pPr>
      <w:r w:rsidRPr="00F27636">
        <w:rPr>
          <w:b/>
          <w:bCs/>
        </w:rPr>
        <w:t>Security</w:t>
      </w:r>
      <w:r w:rsidR="006B2AD0" w:rsidRPr="00F27636">
        <w:rPr>
          <w:b/>
          <w:bCs/>
        </w:rPr>
        <w:t xml:space="preserve"> Team</w:t>
      </w:r>
    </w:p>
    <w:p w14:paraId="23C7279F" w14:textId="77777777" w:rsidR="006044C1" w:rsidRDefault="006044C1" w:rsidP="00343828">
      <w:pPr>
        <w:rPr>
          <w:rFonts w:cs="Arial"/>
        </w:rPr>
      </w:pPr>
    </w:p>
    <w:p w14:paraId="74526038" w14:textId="70F93730" w:rsidR="006044C1" w:rsidRPr="00F27636" w:rsidRDefault="00583DDB" w:rsidP="00F27636">
      <w:pPr>
        <w:pStyle w:val="PolLevel3"/>
      </w:pPr>
      <w:r w:rsidRPr="00F27636">
        <w:t xml:space="preserve">Responsible for assisting the Trust to realise the requirements and directions issued by the Secretary of State, Department of Health and NHS </w:t>
      </w:r>
      <w:r w:rsidR="008C3FDE" w:rsidRPr="00F27636">
        <w:t xml:space="preserve">England </w:t>
      </w:r>
      <w:r w:rsidRPr="00F27636">
        <w:t>relating to security.</w:t>
      </w:r>
    </w:p>
    <w:p w14:paraId="6110A5DA" w14:textId="77777777" w:rsidR="006044C1" w:rsidRDefault="006044C1" w:rsidP="00343828">
      <w:pPr>
        <w:rPr>
          <w:rFonts w:cs="Arial"/>
        </w:rPr>
      </w:pPr>
    </w:p>
    <w:p w14:paraId="5E532382" w14:textId="6147527A" w:rsidR="006044C1" w:rsidRPr="00F27636" w:rsidRDefault="00583DDB" w:rsidP="00F27636">
      <w:pPr>
        <w:pStyle w:val="PolLevel3"/>
      </w:pPr>
      <w:r w:rsidRPr="00F27636">
        <w:t xml:space="preserve">Responsible for </w:t>
      </w:r>
      <w:r w:rsidR="008C3FDE" w:rsidRPr="00F27636">
        <w:t>escalating to</w:t>
      </w:r>
      <w:r w:rsidRPr="00F27636">
        <w:t xml:space="preserve"> the </w:t>
      </w:r>
      <w:r w:rsidR="003D5F6B">
        <w:t>Ch</w:t>
      </w:r>
      <w:r w:rsidR="000D4F47">
        <w:t xml:space="preserve">ief Nursing Officer </w:t>
      </w:r>
      <w:r w:rsidRPr="00F27636">
        <w:t>aware</w:t>
      </w:r>
      <w:r w:rsidR="008C3FDE" w:rsidRPr="00F27636">
        <w:t>ness</w:t>
      </w:r>
      <w:r w:rsidRPr="00F27636">
        <w:t xml:space="preserve"> of security issues which may affect the Trust, its staff, patients or the levels of service.</w:t>
      </w:r>
    </w:p>
    <w:p w14:paraId="4F2ADE1D" w14:textId="77777777" w:rsidR="006044C1" w:rsidRDefault="006044C1" w:rsidP="00343828">
      <w:pPr>
        <w:rPr>
          <w:rFonts w:cs="Arial"/>
        </w:rPr>
      </w:pPr>
    </w:p>
    <w:p w14:paraId="5BE6008C" w14:textId="77777777" w:rsidR="006044C1" w:rsidRPr="00F27636" w:rsidRDefault="008C3FDE" w:rsidP="00F27636">
      <w:pPr>
        <w:pStyle w:val="PolLevel3"/>
      </w:pPr>
      <w:r w:rsidRPr="00F27636">
        <w:t xml:space="preserve">Develop and lead on Trust wide improvement plans for </w:t>
      </w:r>
      <w:r w:rsidR="00B07B49" w:rsidRPr="00F27636">
        <w:t>Security Management and have oversight of assurance work to ensure a strong security culture is embedded.</w:t>
      </w:r>
    </w:p>
    <w:p w14:paraId="761473EE" w14:textId="77777777" w:rsidR="006044C1" w:rsidRDefault="006044C1" w:rsidP="00343828">
      <w:pPr>
        <w:rPr>
          <w:rFonts w:cs="Arial"/>
        </w:rPr>
      </w:pPr>
    </w:p>
    <w:p w14:paraId="242DCCF3" w14:textId="77777777" w:rsidR="006044C1" w:rsidRPr="00F27636" w:rsidRDefault="00B07B49" w:rsidP="00F27636">
      <w:pPr>
        <w:pStyle w:val="PolLevel3"/>
      </w:pPr>
      <w:r w:rsidRPr="00F27636">
        <w:t>Is the named role in charge of Security for the Trust</w:t>
      </w:r>
      <w:r w:rsidR="00230B37" w:rsidRPr="00F27636">
        <w:t>’</w:t>
      </w:r>
      <w:r w:rsidRPr="00F27636">
        <w:t>s Controlled Drugs Licence.</w:t>
      </w:r>
    </w:p>
    <w:p w14:paraId="34C6286C" w14:textId="77777777" w:rsidR="006044C1" w:rsidRDefault="006044C1" w:rsidP="00343828">
      <w:pPr>
        <w:rPr>
          <w:rFonts w:cs="Arial"/>
        </w:rPr>
      </w:pPr>
    </w:p>
    <w:p w14:paraId="31E604E5" w14:textId="0C1C4D17" w:rsidR="006044C1" w:rsidRPr="00F27636" w:rsidRDefault="00B07B49" w:rsidP="00F27636">
      <w:pPr>
        <w:pStyle w:val="PolLevel3"/>
      </w:pPr>
      <w:r w:rsidRPr="00F27636">
        <w:t xml:space="preserve">Is the named role as the SRO under IPA for investigations detecting crime where the offence would constitute </w:t>
      </w:r>
      <w:r w:rsidR="006044C1" w:rsidRPr="00F27636">
        <w:t>“</w:t>
      </w:r>
      <w:r w:rsidRPr="00F27636">
        <w:t>serious crime</w:t>
      </w:r>
      <w:r w:rsidR="006044C1" w:rsidRPr="00F27636">
        <w:t>.”</w:t>
      </w:r>
    </w:p>
    <w:p w14:paraId="71939BF4" w14:textId="77777777" w:rsidR="006044C1" w:rsidRDefault="006044C1" w:rsidP="00343828">
      <w:pPr>
        <w:rPr>
          <w:rFonts w:cs="Arial"/>
        </w:rPr>
      </w:pPr>
    </w:p>
    <w:p w14:paraId="06E0CC00" w14:textId="605680AF" w:rsidR="006044C1" w:rsidRPr="00F27636" w:rsidRDefault="00583DDB" w:rsidP="00F27636">
      <w:pPr>
        <w:pStyle w:val="PolLevel3"/>
      </w:pPr>
      <w:r w:rsidRPr="00F27636">
        <w:t xml:space="preserve">To advise on </w:t>
      </w:r>
      <w:r w:rsidR="008C3FDE" w:rsidRPr="00F27636">
        <w:t>c</w:t>
      </w:r>
      <w:r w:rsidRPr="00F27636">
        <w:t xml:space="preserve">rime </w:t>
      </w:r>
      <w:r w:rsidR="008C3FDE" w:rsidRPr="00F27636">
        <w:t>r</w:t>
      </w:r>
      <w:r w:rsidRPr="00F27636">
        <w:t>eduction measurements of Trust properties and activities which may place employees, patients and the public at risk.</w:t>
      </w:r>
    </w:p>
    <w:p w14:paraId="60E35E94" w14:textId="77777777" w:rsidR="006044C1" w:rsidRDefault="006044C1" w:rsidP="00343828">
      <w:pPr>
        <w:rPr>
          <w:rFonts w:cs="Arial"/>
        </w:rPr>
      </w:pPr>
    </w:p>
    <w:p w14:paraId="23803947" w14:textId="78FEC548" w:rsidR="006044C1" w:rsidRPr="00F27636" w:rsidRDefault="00583DDB" w:rsidP="00F27636">
      <w:pPr>
        <w:pStyle w:val="PolLevel3"/>
      </w:pPr>
      <w:r w:rsidRPr="00F27636">
        <w:t xml:space="preserve">To provide specialist </w:t>
      </w:r>
      <w:r w:rsidR="008C3FDE" w:rsidRPr="00F27636">
        <w:t xml:space="preserve">expert </w:t>
      </w:r>
      <w:r w:rsidRPr="00F27636">
        <w:t>information, guidance and training to assist directors, managers and staff in the performance of tasks and duties</w:t>
      </w:r>
      <w:r w:rsidR="008C3FDE" w:rsidRPr="00F27636">
        <w:t xml:space="preserve"> in relation to Security Management</w:t>
      </w:r>
      <w:r w:rsidRPr="00F27636">
        <w:t>.</w:t>
      </w:r>
    </w:p>
    <w:p w14:paraId="7DC9DBDE" w14:textId="77777777" w:rsidR="006044C1" w:rsidRDefault="006044C1" w:rsidP="00343828">
      <w:pPr>
        <w:rPr>
          <w:rFonts w:cs="Arial"/>
        </w:rPr>
      </w:pPr>
    </w:p>
    <w:p w14:paraId="0E50F063" w14:textId="092223F3" w:rsidR="006044C1" w:rsidRPr="00F27636" w:rsidRDefault="008C3FDE" w:rsidP="00F27636">
      <w:pPr>
        <w:pStyle w:val="PolLevel3"/>
      </w:pPr>
      <w:r w:rsidRPr="00F27636">
        <w:t>O</w:t>
      </w:r>
      <w:r w:rsidR="00583DDB" w:rsidRPr="00F27636">
        <w:t xml:space="preserve">versee the investigation of security incidents in accordance with established practice and legislation and liaise with the Police, NHS </w:t>
      </w:r>
      <w:r w:rsidRPr="00F27636">
        <w:t xml:space="preserve">England </w:t>
      </w:r>
      <w:r w:rsidR="00583DDB" w:rsidRPr="00F27636">
        <w:t>and other relevant parties to secure suitable sanction where necessary.</w:t>
      </w:r>
    </w:p>
    <w:p w14:paraId="173CCC3A" w14:textId="77777777" w:rsidR="006044C1" w:rsidRDefault="006044C1" w:rsidP="00343828">
      <w:pPr>
        <w:rPr>
          <w:rFonts w:cs="Arial"/>
        </w:rPr>
      </w:pPr>
    </w:p>
    <w:p w14:paraId="79A6F02B" w14:textId="5222AC67" w:rsidR="006044C1" w:rsidRPr="00F27636" w:rsidRDefault="00583DDB" w:rsidP="00F27636">
      <w:pPr>
        <w:pStyle w:val="PolLevel3"/>
      </w:pPr>
      <w:r w:rsidRPr="00F27636">
        <w:t xml:space="preserve">Liaise with the Police, </w:t>
      </w:r>
      <w:r w:rsidR="00B07B49" w:rsidRPr="00F27636">
        <w:t>Crown Prosecution Service (CPS)</w:t>
      </w:r>
      <w:r w:rsidR="00230B37" w:rsidRPr="00F27636">
        <w:t>,</w:t>
      </w:r>
      <w:r w:rsidR="00B07B49" w:rsidRPr="00F27636">
        <w:t xml:space="preserve"> NHS England</w:t>
      </w:r>
      <w:r w:rsidRPr="00F27636">
        <w:t xml:space="preserve"> and other interested stakeholders and act on their behalf as required in the best interests of the Trust, and where required </w:t>
      </w:r>
      <w:proofErr w:type="gramStart"/>
      <w:r w:rsidRPr="00F27636">
        <w:t>in an effort to</w:t>
      </w:r>
      <w:proofErr w:type="gramEnd"/>
      <w:r w:rsidRPr="00F27636">
        <w:t xml:space="preserve"> secure prosecutions, give evidence or otherwise to safeguard the Trust, and </w:t>
      </w:r>
      <w:r w:rsidR="00D43912" w:rsidRPr="00F27636">
        <w:t>its</w:t>
      </w:r>
      <w:r w:rsidRPr="00F27636">
        <w:t xml:space="preserve"> activities.</w:t>
      </w:r>
    </w:p>
    <w:p w14:paraId="25B55F4D" w14:textId="77777777" w:rsidR="006044C1" w:rsidRDefault="006044C1" w:rsidP="00343828">
      <w:pPr>
        <w:rPr>
          <w:rFonts w:cs="Arial"/>
        </w:rPr>
      </w:pPr>
    </w:p>
    <w:p w14:paraId="3BFD8D58" w14:textId="14589769" w:rsidR="006044C1" w:rsidRPr="00F27636" w:rsidRDefault="00B07B49" w:rsidP="00F27636">
      <w:pPr>
        <w:pStyle w:val="PolLevel3"/>
        <w:rPr>
          <w:rFonts w:cs="Arial"/>
        </w:rPr>
      </w:pPr>
      <w:r w:rsidRPr="00F27636">
        <w:rPr>
          <w:lang w:val="en-US"/>
        </w:rPr>
        <w:t xml:space="preserve">Act where required as the official Trust Witness </w:t>
      </w:r>
      <w:r w:rsidR="00230B37" w:rsidRPr="00F27636">
        <w:rPr>
          <w:lang w:val="en-US"/>
        </w:rPr>
        <w:t>to</w:t>
      </w:r>
      <w:r w:rsidRPr="00F27636">
        <w:rPr>
          <w:lang w:val="en-US"/>
        </w:rPr>
        <w:t xml:space="preserve"> support cases through the Criminal Justice System for </w:t>
      </w:r>
      <w:r w:rsidR="00230B37" w:rsidRPr="00F27636">
        <w:rPr>
          <w:lang w:val="en-US"/>
        </w:rPr>
        <w:t>s</w:t>
      </w:r>
      <w:r w:rsidRPr="00F27636">
        <w:rPr>
          <w:lang w:val="en-US"/>
        </w:rPr>
        <w:t>ecurity related incidents affecting the Trust.</w:t>
      </w:r>
    </w:p>
    <w:p w14:paraId="4E187CE6" w14:textId="77777777" w:rsidR="006044C1" w:rsidRDefault="006044C1" w:rsidP="00343828">
      <w:pPr>
        <w:rPr>
          <w:rFonts w:cs="Arial"/>
        </w:rPr>
      </w:pPr>
    </w:p>
    <w:p w14:paraId="2E230D58" w14:textId="09243BD8" w:rsidR="006044C1" w:rsidRPr="00F27636" w:rsidRDefault="00B07B49" w:rsidP="00F27636">
      <w:pPr>
        <w:pStyle w:val="PolLevel3"/>
      </w:pPr>
      <w:r w:rsidRPr="00F27636">
        <w:t xml:space="preserve">Is the Trust’s representative/member at the National Ambulance </w:t>
      </w:r>
      <w:r w:rsidR="00605C24" w:rsidRPr="00F27636">
        <w:t xml:space="preserve">Violence </w:t>
      </w:r>
      <w:r w:rsidRPr="00F27636">
        <w:t xml:space="preserve">Security Group </w:t>
      </w:r>
      <w:r w:rsidR="00605C24" w:rsidRPr="00F27636">
        <w:t>(NAVSEG)</w:t>
      </w:r>
      <w:r w:rsidRPr="00F27636">
        <w:t>meetings and support</w:t>
      </w:r>
      <w:r w:rsidR="00230B37" w:rsidRPr="00F27636">
        <w:t>s</w:t>
      </w:r>
      <w:r w:rsidRPr="00F27636">
        <w:t xml:space="preserve"> the determination of best practice for local Trust implementation.</w:t>
      </w:r>
    </w:p>
    <w:p w14:paraId="1A833A00" w14:textId="77777777" w:rsidR="006044C1" w:rsidRDefault="006044C1" w:rsidP="00343828">
      <w:pPr>
        <w:rPr>
          <w:rFonts w:cs="Arial"/>
        </w:rPr>
      </w:pPr>
    </w:p>
    <w:p w14:paraId="7A1BD078" w14:textId="11C3AAFC" w:rsidR="006044C1" w:rsidRPr="00F27636" w:rsidRDefault="00583DDB" w:rsidP="00F27636">
      <w:pPr>
        <w:pStyle w:val="PolLevel3"/>
      </w:pPr>
      <w:r w:rsidRPr="00F27636">
        <w:t xml:space="preserve">The </w:t>
      </w:r>
      <w:r w:rsidR="00B07B49" w:rsidRPr="00F27636">
        <w:t xml:space="preserve">Trust Lead for Security </w:t>
      </w:r>
      <w:r w:rsidRPr="00F27636">
        <w:t>will liaise with the Trust’s Local Counter Fraud Specialist (LCFS) where security iss</w:t>
      </w:r>
      <w:r w:rsidR="00FD2912" w:rsidRPr="00F27636">
        <w:t>ues are raised that are of joint or mutual interest, or where specialist advice or assistance is needed.</w:t>
      </w:r>
      <w:r w:rsidR="00B07B49" w:rsidRPr="00F27636">
        <w:t xml:space="preserve"> An MOU is in place for this.</w:t>
      </w:r>
    </w:p>
    <w:p w14:paraId="249F5F1B" w14:textId="77777777" w:rsidR="006044C1" w:rsidRDefault="006044C1" w:rsidP="00343828">
      <w:pPr>
        <w:rPr>
          <w:rFonts w:cs="Arial"/>
        </w:rPr>
      </w:pPr>
    </w:p>
    <w:p w14:paraId="5CD787B6" w14:textId="18197B64" w:rsidR="004A3846" w:rsidRPr="00F27636" w:rsidRDefault="00F564BC" w:rsidP="00F27636">
      <w:pPr>
        <w:pStyle w:val="PolLevel3"/>
      </w:pPr>
      <w:r w:rsidRPr="00F27636">
        <w:t>Responsible for administration of Security Incidents on the Trust</w:t>
      </w:r>
      <w:r w:rsidR="00230B37" w:rsidRPr="00F27636">
        <w:t>’</w:t>
      </w:r>
      <w:r w:rsidRPr="00F27636">
        <w:t>s Incident Reporting System</w:t>
      </w:r>
      <w:r w:rsidR="00386594" w:rsidRPr="00F27636">
        <w:t xml:space="preserve"> and ensuring managers conduct proportionate security related investigations</w:t>
      </w:r>
      <w:r w:rsidRPr="00F27636">
        <w:t>.</w:t>
      </w:r>
    </w:p>
    <w:p w14:paraId="29F52E2B" w14:textId="77777777" w:rsidR="004A3846" w:rsidRDefault="004A3846" w:rsidP="00343828">
      <w:pPr>
        <w:rPr>
          <w:rFonts w:cs="Arial"/>
        </w:rPr>
      </w:pPr>
    </w:p>
    <w:p w14:paraId="53CC35FC" w14:textId="537E28EF" w:rsidR="004A3846" w:rsidRPr="00F27636" w:rsidRDefault="00F564BC" w:rsidP="00F27636">
      <w:pPr>
        <w:pStyle w:val="PolLevel3"/>
      </w:pPr>
      <w:r w:rsidRPr="00F27636">
        <w:t>Responsible for the administration of the Trust’s ID card system.</w:t>
      </w:r>
    </w:p>
    <w:p w14:paraId="198E0A47" w14:textId="77777777" w:rsidR="004A3846" w:rsidRDefault="004A3846" w:rsidP="00343828">
      <w:pPr>
        <w:rPr>
          <w:rFonts w:cs="Arial"/>
        </w:rPr>
      </w:pPr>
    </w:p>
    <w:p w14:paraId="4B1195FE" w14:textId="5C3FE055" w:rsidR="00F564BC" w:rsidRPr="00F27636" w:rsidRDefault="00605C24" w:rsidP="00F27636">
      <w:pPr>
        <w:pStyle w:val="PolLevel3"/>
      </w:pPr>
      <w:r w:rsidRPr="00F27636">
        <w:t>Circulating</w:t>
      </w:r>
      <w:r w:rsidR="00F564BC" w:rsidRPr="00F27636">
        <w:t xml:space="preserve"> advice set out by specialists/management/senior management, to support violence, aggression, theft, criminal damage cases etc. as well as processes around ID card management, CCTV</w:t>
      </w:r>
      <w:r w:rsidR="006B2AD0" w:rsidRPr="00F27636">
        <w:t xml:space="preserve">, BWC </w:t>
      </w:r>
      <w:r w:rsidR="00F564BC" w:rsidRPr="00F27636">
        <w:t>and lone working.</w:t>
      </w:r>
    </w:p>
    <w:p w14:paraId="5B23F96D" w14:textId="77777777" w:rsidR="00B30D70" w:rsidRDefault="00B30D70" w:rsidP="00343828"/>
    <w:p w14:paraId="5B2DF51E" w14:textId="77777777" w:rsidR="00164C72" w:rsidRPr="00F27636" w:rsidRDefault="00583DDB" w:rsidP="00F27636">
      <w:pPr>
        <w:pStyle w:val="PolLevel2"/>
        <w:rPr>
          <w:b/>
          <w:bCs/>
        </w:rPr>
      </w:pPr>
      <w:r w:rsidRPr="00F27636">
        <w:rPr>
          <w:b/>
          <w:bCs/>
        </w:rPr>
        <w:t>Managers</w:t>
      </w:r>
      <w:r w:rsidR="00F564BC" w:rsidRPr="00F27636">
        <w:rPr>
          <w:b/>
          <w:bCs/>
        </w:rPr>
        <w:t xml:space="preserve"> and </w:t>
      </w:r>
      <w:r w:rsidR="00F564BC" w:rsidRPr="00F27636">
        <w:rPr>
          <w:rFonts w:cs="Arial"/>
          <w:b/>
          <w:bCs/>
        </w:rPr>
        <w:t>Team</w:t>
      </w:r>
      <w:r w:rsidR="00F564BC" w:rsidRPr="00F27636">
        <w:rPr>
          <w:b/>
          <w:bCs/>
        </w:rPr>
        <w:t xml:space="preserve"> Leaders</w:t>
      </w:r>
    </w:p>
    <w:p w14:paraId="573F6E02" w14:textId="77777777" w:rsidR="00164C72" w:rsidRDefault="00164C72" w:rsidP="00343828">
      <w:pPr>
        <w:rPr>
          <w:u w:val="single"/>
        </w:rPr>
      </w:pPr>
    </w:p>
    <w:p w14:paraId="56745FC1" w14:textId="0D2172D8" w:rsidR="00164C72" w:rsidRPr="00F27636" w:rsidRDefault="00583DDB" w:rsidP="00F27636">
      <w:pPr>
        <w:pStyle w:val="PolLevel3"/>
        <w:rPr>
          <w:u w:val="single"/>
        </w:rPr>
      </w:pPr>
      <w:r w:rsidRPr="00F27636">
        <w:t>Responsible for ensuring that those under their supervision comply with the principles and guidelines issued to assist in preventing and detecting incidents of violence and abuse, or those for enhancing the security of Trust or private property.</w:t>
      </w:r>
    </w:p>
    <w:p w14:paraId="593A4905" w14:textId="77777777" w:rsidR="00164C72" w:rsidRDefault="00164C72" w:rsidP="00343828">
      <w:pPr>
        <w:rPr>
          <w:rFonts w:cs="Arial"/>
        </w:rPr>
      </w:pPr>
    </w:p>
    <w:p w14:paraId="20BFAC0B" w14:textId="79E3E579" w:rsidR="00164C72" w:rsidRPr="00F27636" w:rsidRDefault="00583DDB" w:rsidP="00F27636">
      <w:pPr>
        <w:pStyle w:val="PolLevel3"/>
      </w:pPr>
      <w:r w:rsidRPr="00F27636">
        <w:t xml:space="preserve">Responsible for ensuring that all incidents are </w:t>
      </w:r>
      <w:proofErr w:type="gramStart"/>
      <w:r w:rsidR="00164C72" w:rsidRPr="00F27636">
        <w:t>reported</w:t>
      </w:r>
      <w:r w:rsidR="004A3846" w:rsidRPr="00F27636">
        <w:t>,</w:t>
      </w:r>
      <w:proofErr w:type="gramEnd"/>
      <w:r w:rsidR="004A3846" w:rsidRPr="00F27636">
        <w:t xml:space="preserve"> </w:t>
      </w:r>
      <w:r w:rsidRPr="00F27636">
        <w:t xml:space="preserve">that they complete an appropriate internal </w:t>
      </w:r>
      <w:r w:rsidR="00FC2C15" w:rsidRPr="00F27636">
        <w:t>investigation,</w:t>
      </w:r>
      <w:r w:rsidRPr="00F27636">
        <w:t xml:space="preserve"> and they ensure adequate support is given to the victim of the crime.</w:t>
      </w:r>
    </w:p>
    <w:p w14:paraId="1EB7611A" w14:textId="77777777" w:rsidR="00164C72" w:rsidRDefault="00164C72" w:rsidP="00343828">
      <w:pPr>
        <w:rPr>
          <w:rFonts w:cs="Arial"/>
        </w:rPr>
      </w:pPr>
    </w:p>
    <w:p w14:paraId="01BA242A" w14:textId="7437E0C8" w:rsidR="000C2BF7" w:rsidRPr="00F27636" w:rsidRDefault="00583DDB" w:rsidP="00F27636">
      <w:pPr>
        <w:pStyle w:val="PolLevel2"/>
        <w:rPr>
          <w:b/>
          <w:bCs/>
        </w:rPr>
      </w:pPr>
      <w:r w:rsidRPr="00F27636">
        <w:rPr>
          <w:b/>
          <w:bCs/>
        </w:rPr>
        <w:t>All Employees</w:t>
      </w:r>
    </w:p>
    <w:p w14:paraId="64CB89DF" w14:textId="77777777" w:rsidR="000C2BF7" w:rsidRDefault="000C2BF7" w:rsidP="00F27636">
      <w:pPr>
        <w:rPr>
          <w:rFonts w:cs="Arial"/>
        </w:rPr>
      </w:pPr>
    </w:p>
    <w:p w14:paraId="5DE57BB5" w14:textId="5D0A076B" w:rsidR="000C2BF7" w:rsidRPr="00F27636" w:rsidRDefault="00583DDB" w:rsidP="00F27636">
      <w:pPr>
        <w:pStyle w:val="PolLevel3"/>
      </w:pPr>
      <w:r w:rsidRPr="00F27636">
        <w:t>Responsible for reporting all security incidents in which they are the victim (i.e. they have been abused, assaulted or had property stolen) or to which they become aware (e.g. theft of or damage to property).</w:t>
      </w:r>
    </w:p>
    <w:p w14:paraId="544D81DA" w14:textId="77777777" w:rsidR="000C2BF7" w:rsidRDefault="000C2BF7" w:rsidP="00F27636">
      <w:pPr>
        <w:rPr>
          <w:rFonts w:cs="Arial"/>
        </w:rPr>
      </w:pPr>
    </w:p>
    <w:p w14:paraId="0357DFAE" w14:textId="47C7BA93" w:rsidR="000C2BF7" w:rsidRPr="00F27636" w:rsidRDefault="00583DDB" w:rsidP="00F27636">
      <w:pPr>
        <w:pStyle w:val="PolLevel3"/>
      </w:pPr>
      <w:r w:rsidRPr="00F27636">
        <w:t>Responsible for co-operating with the principles and guidelines issued to assist in preventing and detecting incidents of violence and abuse, or those for enhancing the security of Trust or private property.</w:t>
      </w:r>
    </w:p>
    <w:p w14:paraId="199B7E1D" w14:textId="77777777" w:rsidR="000C2BF7" w:rsidRDefault="000C2BF7" w:rsidP="00F27636">
      <w:pPr>
        <w:rPr>
          <w:rFonts w:cs="Arial"/>
        </w:rPr>
      </w:pPr>
    </w:p>
    <w:p w14:paraId="15F9B581" w14:textId="5D2CC557" w:rsidR="00524721" w:rsidRPr="00F27636" w:rsidRDefault="00583DDB" w:rsidP="00F27636">
      <w:pPr>
        <w:pStyle w:val="PolLevel3"/>
      </w:pPr>
      <w:r w:rsidRPr="00F27636">
        <w:t xml:space="preserve">Must make dynamic risk assessments for all incidents to which they respond, to assess the potential for danger or injury to themselves and </w:t>
      </w:r>
      <w:r w:rsidRPr="00F27636">
        <w:rPr>
          <w:bCs/>
        </w:rPr>
        <w:t xml:space="preserve">balance their obligations to providing emergency healthcare with the safety of themselves, </w:t>
      </w:r>
      <w:r w:rsidR="006B2AD0" w:rsidRPr="00F27636">
        <w:rPr>
          <w:bCs/>
        </w:rPr>
        <w:t>patients,</w:t>
      </w:r>
      <w:r w:rsidRPr="00F27636">
        <w:rPr>
          <w:bCs/>
        </w:rPr>
        <w:t xml:space="preserve"> or other members of the public.</w:t>
      </w:r>
    </w:p>
    <w:p w14:paraId="2D079938" w14:textId="77777777" w:rsidR="006B2AD0" w:rsidRPr="000C2BF7" w:rsidRDefault="006B2AD0" w:rsidP="00F27636">
      <w:pPr>
        <w:rPr>
          <w:rFonts w:cs="Arial"/>
          <w:b/>
        </w:rPr>
      </w:pPr>
    </w:p>
    <w:p w14:paraId="3EFB8C27" w14:textId="77777777" w:rsidR="000C2BF7" w:rsidRPr="00F27636" w:rsidRDefault="002748EF" w:rsidP="00F27636">
      <w:pPr>
        <w:pStyle w:val="PolLevel2"/>
        <w:rPr>
          <w:b/>
          <w:bCs/>
        </w:rPr>
      </w:pPr>
      <w:r w:rsidRPr="00F27636">
        <w:rPr>
          <w:b/>
          <w:bCs/>
        </w:rPr>
        <w:t>Competence</w:t>
      </w:r>
    </w:p>
    <w:p w14:paraId="5420DFE8" w14:textId="77777777" w:rsidR="000C2BF7" w:rsidRDefault="000C2BF7" w:rsidP="000C2BF7">
      <w:pPr>
        <w:rPr>
          <w:rFonts w:cs="Arial"/>
          <w:bCs/>
          <w:szCs w:val="28"/>
        </w:rPr>
      </w:pPr>
    </w:p>
    <w:p w14:paraId="7849F868" w14:textId="533C8756" w:rsidR="000C2BF7" w:rsidRPr="00F27636" w:rsidRDefault="00583DDB" w:rsidP="00F27636">
      <w:pPr>
        <w:pStyle w:val="PolLevel3"/>
        <w:rPr>
          <w:bCs/>
          <w:szCs w:val="28"/>
        </w:rPr>
      </w:pPr>
      <w:r w:rsidRPr="00F27636">
        <w:t>The Trust will ensure that they employ a</w:t>
      </w:r>
      <w:r w:rsidR="00386594" w:rsidRPr="00F27636">
        <w:t xml:space="preserve"> </w:t>
      </w:r>
      <w:r w:rsidR="0059619B" w:rsidRPr="00F27636">
        <w:t xml:space="preserve">competent </w:t>
      </w:r>
      <w:r w:rsidR="00C31607" w:rsidRPr="00F27636">
        <w:t>person</w:t>
      </w:r>
      <w:r w:rsidR="001C29DE" w:rsidRPr="00F27636">
        <w:t>,</w:t>
      </w:r>
      <w:r w:rsidR="0059619B" w:rsidRPr="00F27636">
        <w:t xml:space="preserve"> </w:t>
      </w:r>
      <w:r w:rsidR="00B30D70" w:rsidRPr="00F27636">
        <w:t>wh</w:t>
      </w:r>
      <w:r w:rsidR="001C29DE" w:rsidRPr="00F27636">
        <w:t>o</w:t>
      </w:r>
      <w:r w:rsidR="00B30D70" w:rsidRPr="00F27636">
        <w:t xml:space="preserve"> </w:t>
      </w:r>
      <w:r w:rsidR="0059619B" w:rsidRPr="00F27636">
        <w:t xml:space="preserve">holds suitable </w:t>
      </w:r>
      <w:r w:rsidR="00F03176" w:rsidRPr="00F27636">
        <w:t>qualification</w:t>
      </w:r>
      <w:r w:rsidR="001C29DE" w:rsidRPr="00F27636">
        <w:t>s</w:t>
      </w:r>
      <w:r w:rsidR="00F03176" w:rsidRPr="00F27636">
        <w:t xml:space="preserve"> </w:t>
      </w:r>
      <w:r w:rsidR="006A0A3F" w:rsidRPr="00F27636">
        <w:t>and experience</w:t>
      </w:r>
      <w:r w:rsidR="00B30D70" w:rsidRPr="00F27636">
        <w:t xml:space="preserve"> for Security</w:t>
      </w:r>
      <w:r w:rsidR="0059619B" w:rsidRPr="00F27636">
        <w:t>,</w:t>
      </w:r>
      <w:r w:rsidR="00230B37" w:rsidRPr="00F27636">
        <w:t xml:space="preserve"> </w:t>
      </w:r>
      <w:r w:rsidR="00B30D70" w:rsidRPr="00F27636">
        <w:t>able to provide leadership for Security Management for the Trust.</w:t>
      </w:r>
    </w:p>
    <w:p w14:paraId="45327882" w14:textId="77777777" w:rsidR="000C2BF7" w:rsidRDefault="000C2BF7" w:rsidP="000C2BF7">
      <w:pPr>
        <w:rPr>
          <w:rFonts w:cs="Arial"/>
          <w:color w:val="000000" w:themeColor="text1"/>
        </w:rPr>
      </w:pPr>
    </w:p>
    <w:p w14:paraId="64AE6A63" w14:textId="48CB957B" w:rsidR="000C2BF7" w:rsidRPr="000C2BF7" w:rsidRDefault="002748EF" w:rsidP="00F27636">
      <w:pPr>
        <w:pStyle w:val="Heading1"/>
        <w:numPr>
          <w:ilvl w:val="0"/>
          <w:numId w:val="23"/>
        </w:numPr>
        <w:rPr>
          <w:color w:val="000000" w:themeColor="text1"/>
          <w:szCs w:val="20"/>
        </w:rPr>
      </w:pPr>
      <w:bookmarkStart w:id="95" w:name="_Toc141096326"/>
      <w:r w:rsidRPr="000C2BF7">
        <w:t>Monitoring</w:t>
      </w:r>
      <w:bookmarkEnd w:id="95"/>
    </w:p>
    <w:p w14:paraId="79B7A2DD" w14:textId="77777777" w:rsidR="000C2BF7" w:rsidRDefault="000C2BF7" w:rsidP="000C2BF7">
      <w:pPr>
        <w:rPr>
          <w:rFonts w:cs="Arial"/>
          <w:bCs/>
          <w:szCs w:val="28"/>
        </w:rPr>
      </w:pPr>
    </w:p>
    <w:p w14:paraId="00500D1C" w14:textId="1234413E" w:rsidR="000C2BF7" w:rsidRPr="00F27636" w:rsidRDefault="00D9255A" w:rsidP="00F27636">
      <w:pPr>
        <w:pStyle w:val="PolLevel2"/>
        <w:rPr>
          <w:bCs/>
          <w:szCs w:val="28"/>
        </w:rPr>
      </w:pPr>
      <w:r w:rsidRPr="00F27636">
        <w:t xml:space="preserve">Information is available </w:t>
      </w:r>
      <w:r w:rsidR="005C2484" w:rsidRPr="00F27636">
        <w:t>to all</w:t>
      </w:r>
      <w:r w:rsidR="00583DDB" w:rsidRPr="00F27636">
        <w:t xml:space="preserve"> staff </w:t>
      </w:r>
      <w:r w:rsidR="005C2484" w:rsidRPr="00F27636">
        <w:t xml:space="preserve">in </w:t>
      </w:r>
      <w:r w:rsidR="00583DDB" w:rsidRPr="00F27636">
        <w:t xml:space="preserve">personal security and how to report incidents of </w:t>
      </w:r>
      <w:r w:rsidR="00B479B7" w:rsidRPr="00F27636">
        <w:t>criminality;</w:t>
      </w:r>
      <w:r w:rsidR="00583DDB" w:rsidRPr="00F27636">
        <w:t xml:space="preserve"> in addition</w:t>
      </w:r>
      <w:r w:rsidR="00D179EF" w:rsidRPr="00F27636">
        <w:t>,</w:t>
      </w:r>
      <w:r w:rsidR="00583DDB" w:rsidRPr="00F27636">
        <w:t xml:space="preserve"> frontline operational staff receive conflict resolution training, which is refreshed on a </w:t>
      </w:r>
      <w:r w:rsidR="002C3E6A" w:rsidRPr="00F27636">
        <w:t xml:space="preserve">three </w:t>
      </w:r>
      <w:r w:rsidR="00583DDB" w:rsidRPr="00F27636">
        <w:t xml:space="preserve">yearly basis as part of their annual key skills training. </w:t>
      </w:r>
    </w:p>
    <w:p w14:paraId="7ECB2BB0" w14:textId="77777777" w:rsidR="000C2BF7" w:rsidRDefault="000C2BF7" w:rsidP="000C2BF7">
      <w:pPr>
        <w:rPr>
          <w:rFonts w:cs="Arial"/>
          <w:color w:val="000000" w:themeColor="text1"/>
        </w:rPr>
      </w:pPr>
    </w:p>
    <w:p w14:paraId="64CA15F4" w14:textId="1A13A5C5" w:rsidR="00635E49" w:rsidRPr="00F27636" w:rsidRDefault="000C2BF7" w:rsidP="00F27636">
      <w:pPr>
        <w:pStyle w:val="PolLevel2"/>
      </w:pPr>
      <w:r w:rsidRPr="00F27636">
        <w:rPr>
          <w:rStyle w:val="CommentReference"/>
          <w:sz w:val="24"/>
          <w:szCs w:val="24"/>
        </w:rPr>
        <w:t>A</w:t>
      </w:r>
      <w:r w:rsidR="00583DDB" w:rsidRPr="00F27636">
        <w:t xml:space="preserve">ll incidents of criminality, violence and abuse will be recorded on the Trust’s incident reporting system by the Trust’s </w:t>
      </w:r>
      <w:r w:rsidR="00386594" w:rsidRPr="00F27636">
        <w:t>Security</w:t>
      </w:r>
      <w:r w:rsidR="006B20AC" w:rsidRPr="00F27636">
        <w:t xml:space="preserve"> </w:t>
      </w:r>
      <w:r w:rsidR="0076341C" w:rsidRPr="00F27636">
        <w:t>Team</w:t>
      </w:r>
      <w:r w:rsidR="00583DDB" w:rsidRPr="00F27636">
        <w:t xml:space="preserve">. These will be investigated by the appropriate Manager and will be monitored for completion by the </w:t>
      </w:r>
      <w:r w:rsidR="00386594" w:rsidRPr="00F27636">
        <w:t>Security</w:t>
      </w:r>
      <w:r w:rsidR="00583DDB" w:rsidRPr="00F27636">
        <w:t xml:space="preserve"> </w:t>
      </w:r>
      <w:r w:rsidR="0076341C" w:rsidRPr="00F27636">
        <w:t>Team</w:t>
      </w:r>
      <w:r w:rsidR="00386594" w:rsidRPr="00F27636">
        <w:t>.</w:t>
      </w:r>
    </w:p>
    <w:p w14:paraId="55866AFA" w14:textId="77777777" w:rsidR="00635E49" w:rsidRDefault="00635E49" w:rsidP="00343828">
      <w:pPr>
        <w:rPr>
          <w:rFonts w:cs="Arial"/>
        </w:rPr>
      </w:pPr>
    </w:p>
    <w:p w14:paraId="6302A390" w14:textId="37B929D4" w:rsidR="00635E49" w:rsidRPr="00F27636" w:rsidRDefault="00583DDB" w:rsidP="00F27636">
      <w:pPr>
        <w:pStyle w:val="PolLevel2"/>
      </w:pPr>
      <w:r w:rsidRPr="00F27636">
        <w:t>Trend analysis information pertaining to incidents of violence are reported to the following groups;</w:t>
      </w:r>
    </w:p>
    <w:p w14:paraId="620C1B69" w14:textId="77777777" w:rsidR="00635E49" w:rsidRDefault="00635E49" w:rsidP="00343828">
      <w:pPr>
        <w:rPr>
          <w:rFonts w:cs="Arial"/>
          <w:color w:val="000000" w:themeColor="text1"/>
        </w:rPr>
      </w:pPr>
    </w:p>
    <w:p w14:paraId="415B5D8B" w14:textId="7749B75B" w:rsidR="00635E49" w:rsidRPr="00F27636" w:rsidRDefault="00386594" w:rsidP="00533B15">
      <w:pPr>
        <w:pStyle w:val="PolLevel4"/>
        <w:numPr>
          <w:ilvl w:val="3"/>
          <w:numId w:val="28"/>
        </w:numPr>
      </w:pPr>
      <w:r w:rsidRPr="00F27636">
        <w:t>Medicines Governance Group (which Security is a standing member of).</w:t>
      </w:r>
    </w:p>
    <w:p w14:paraId="1EFEDF5D" w14:textId="77777777" w:rsidR="00635E49" w:rsidRDefault="00635E49" w:rsidP="00343828">
      <w:pPr>
        <w:rPr>
          <w:rFonts w:cs="Arial"/>
          <w:color w:val="000000" w:themeColor="text1"/>
        </w:rPr>
      </w:pPr>
    </w:p>
    <w:p w14:paraId="1A3DD870" w14:textId="692080EC" w:rsidR="00635E49" w:rsidRPr="00F27636" w:rsidRDefault="00386594" w:rsidP="00533B15">
      <w:pPr>
        <w:pStyle w:val="PolLevel4"/>
        <w:numPr>
          <w:ilvl w:val="3"/>
          <w:numId w:val="28"/>
        </w:numPr>
      </w:pPr>
      <w:r w:rsidRPr="00F27636">
        <w:t>Medical Gasses Group (which Security is a standing member of).</w:t>
      </w:r>
    </w:p>
    <w:p w14:paraId="443CD2A2" w14:textId="77777777" w:rsidR="00635E49" w:rsidRDefault="00635E49" w:rsidP="00343828">
      <w:pPr>
        <w:rPr>
          <w:rFonts w:cs="Arial"/>
          <w:color w:val="000000" w:themeColor="text1"/>
        </w:rPr>
      </w:pPr>
    </w:p>
    <w:p w14:paraId="27DB52E8" w14:textId="51A50EFD" w:rsidR="00635E49" w:rsidRPr="00F27636" w:rsidRDefault="00386594" w:rsidP="00533B15">
      <w:pPr>
        <w:pStyle w:val="PolLevel4"/>
        <w:numPr>
          <w:ilvl w:val="3"/>
          <w:numId w:val="28"/>
        </w:numPr>
      </w:pPr>
      <w:r w:rsidRPr="00F27636">
        <w:t xml:space="preserve">History Marking Working Group (which Security is </w:t>
      </w:r>
      <w:r w:rsidR="00B02192" w:rsidRPr="00F27636">
        <w:t>a standing member of</w:t>
      </w:r>
      <w:r w:rsidRPr="00F27636">
        <w:t>).</w:t>
      </w:r>
    </w:p>
    <w:p w14:paraId="6C061EB0" w14:textId="77777777" w:rsidR="00635E49" w:rsidRDefault="00635E49" w:rsidP="00343828">
      <w:pPr>
        <w:rPr>
          <w:rFonts w:cs="Arial"/>
          <w:color w:val="000000" w:themeColor="text1"/>
        </w:rPr>
      </w:pPr>
    </w:p>
    <w:p w14:paraId="35D21541" w14:textId="2408432F" w:rsidR="00635E49" w:rsidRPr="00F27636" w:rsidRDefault="00583DDB" w:rsidP="00533B15">
      <w:pPr>
        <w:pStyle w:val="PolLevel4"/>
        <w:numPr>
          <w:ilvl w:val="3"/>
          <w:numId w:val="28"/>
        </w:numPr>
      </w:pPr>
      <w:r w:rsidRPr="00F27636">
        <w:t>Health and Safety Work</w:t>
      </w:r>
      <w:r w:rsidR="00B479B7" w:rsidRPr="00F27636">
        <w:t>ing Group</w:t>
      </w:r>
      <w:r w:rsidRPr="00F27636">
        <w:t>.</w:t>
      </w:r>
    </w:p>
    <w:p w14:paraId="5327EC33" w14:textId="77777777" w:rsidR="00635E49" w:rsidRDefault="00635E49" w:rsidP="00343828">
      <w:pPr>
        <w:rPr>
          <w:rFonts w:cs="Arial"/>
          <w:color w:val="000000" w:themeColor="text1"/>
        </w:rPr>
      </w:pPr>
    </w:p>
    <w:p w14:paraId="50CE8B1C" w14:textId="3A6527AE" w:rsidR="00635E49" w:rsidRPr="00F27636" w:rsidRDefault="004D6A13" w:rsidP="00533B15">
      <w:pPr>
        <w:pStyle w:val="PolLevel4"/>
        <w:numPr>
          <w:ilvl w:val="3"/>
          <w:numId w:val="28"/>
        </w:numPr>
      </w:pPr>
      <w:r>
        <w:t>People Committee</w:t>
      </w:r>
    </w:p>
    <w:p w14:paraId="6FB89FAC" w14:textId="77777777" w:rsidR="00635E49" w:rsidRDefault="00635E49" w:rsidP="00343828">
      <w:pPr>
        <w:rPr>
          <w:rFonts w:cs="Arial"/>
          <w:color w:val="000000" w:themeColor="text1"/>
        </w:rPr>
      </w:pPr>
    </w:p>
    <w:p w14:paraId="4BC9AF33" w14:textId="608331CA" w:rsidR="00E46B0A" w:rsidRDefault="00386594" w:rsidP="00533B15">
      <w:pPr>
        <w:pStyle w:val="PolLevel4"/>
        <w:numPr>
          <w:ilvl w:val="3"/>
          <w:numId w:val="28"/>
        </w:numPr>
      </w:pPr>
      <w:r w:rsidRPr="00F27636">
        <w:t xml:space="preserve">Integrated </w:t>
      </w:r>
      <w:r w:rsidR="004D3431">
        <w:t>Q</w:t>
      </w:r>
      <w:r w:rsidR="004D6A13">
        <w:t>uality</w:t>
      </w:r>
      <w:r w:rsidR="004D3431" w:rsidRPr="00F27636">
        <w:t xml:space="preserve"> </w:t>
      </w:r>
      <w:r w:rsidR="00D179EF" w:rsidRPr="00F27636">
        <w:t xml:space="preserve">Report </w:t>
      </w:r>
      <w:r w:rsidRPr="00F27636">
        <w:t>(I</w:t>
      </w:r>
      <w:r w:rsidR="004D6A13">
        <w:t>Q</w:t>
      </w:r>
      <w:r w:rsidRPr="00F27636">
        <w:t>R</w:t>
      </w:r>
      <w:r w:rsidR="00D179EF" w:rsidRPr="00F27636">
        <w:t xml:space="preserve"> Dashboard</w:t>
      </w:r>
      <w:r w:rsidRPr="00F27636">
        <w:t>)</w:t>
      </w:r>
    </w:p>
    <w:p w14:paraId="79B8FE64" w14:textId="77777777" w:rsidR="00B553C3" w:rsidRDefault="00B553C3" w:rsidP="00B553C3">
      <w:pPr>
        <w:pStyle w:val="ListParagraph"/>
      </w:pPr>
    </w:p>
    <w:p w14:paraId="74FF1AED" w14:textId="63BF2AC8" w:rsidR="00B553C3" w:rsidRPr="00F27636" w:rsidRDefault="00B553C3" w:rsidP="00533B15">
      <w:pPr>
        <w:pStyle w:val="PolLevel4"/>
        <w:numPr>
          <w:ilvl w:val="3"/>
          <w:numId w:val="28"/>
        </w:numPr>
      </w:pPr>
      <w:r>
        <w:t>Violence Reduction Working Group</w:t>
      </w:r>
    </w:p>
    <w:p w14:paraId="742D1C0F" w14:textId="77777777" w:rsidR="00E46B0A" w:rsidRDefault="00E46B0A" w:rsidP="00343828">
      <w:pPr>
        <w:rPr>
          <w:rFonts w:cs="Arial"/>
          <w:color w:val="000000" w:themeColor="text1"/>
        </w:rPr>
      </w:pPr>
    </w:p>
    <w:p w14:paraId="795D2BDC" w14:textId="2419F31E" w:rsidR="00E46B0A" w:rsidRPr="00F27636" w:rsidRDefault="00583DDB" w:rsidP="00F27636">
      <w:pPr>
        <w:pStyle w:val="PolLevel2"/>
      </w:pPr>
      <w:r w:rsidRPr="00F27636">
        <w:lastRenderedPageBreak/>
        <w:t xml:space="preserve">The figures are provided as part </w:t>
      </w:r>
      <w:r w:rsidR="00217DA2">
        <w:t>Violence and aggression data</w:t>
      </w:r>
      <w:r w:rsidRPr="00F27636">
        <w:t>, denoting the number of incidents, as well as comparisons per 100 staff and per 1000 ambulance responses made by the Trust.</w:t>
      </w:r>
    </w:p>
    <w:p w14:paraId="73722FDA" w14:textId="77777777" w:rsidR="00E46B0A" w:rsidRDefault="00E46B0A" w:rsidP="00343828">
      <w:pPr>
        <w:rPr>
          <w:rFonts w:cs="Arial"/>
          <w:color w:val="000000" w:themeColor="text1"/>
        </w:rPr>
      </w:pPr>
    </w:p>
    <w:p w14:paraId="262D5958" w14:textId="7EA2B687" w:rsidR="00E46B0A" w:rsidRPr="00F27636" w:rsidRDefault="00583DDB" w:rsidP="00F27636">
      <w:pPr>
        <w:pStyle w:val="PolLevel2"/>
      </w:pPr>
      <w:r w:rsidRPr="00F27636">
        <w:t xml:space="preserve">The Trust Board receives </w:t>
      </w:r>
      <w:r w:rsidR="00B479B7" w:rsidRPr="00F27636">
        <w:t>statis</w:t>
      </w:r>
      <w:r w:rsidRPr="00F27636">
        <w:t>t</w:t>
      </w:r>
      <w:r w:rsidR="00B479B7" w:rsidRPr="00F27636">
        <w:t>ical information</w:t>
      </w:r>
      <w:r w:rsidRPr="00F27636">
        <w:t xml:space="preserve"> on a </w:t>
      </w:r>
      <w:r w:rsidR="007A3600" w:rsidRPr="00F27636">
        <w:t>bi-</w:t>
      </w:r>
      <w:r w:rsidRPr="00F27636">
        <w:t xml:space="preserve">monthly basis, </w:t>
      </w:r>
      <w:r w:rsidR="0064797C" w:rsidRPr="00F27636">
        <w:t>relating to instances of violence and aggression.</w:t>
      </w:r>
    </w:p>
    <w:p w14:paraId="2B35E929" w14:textId="77777777" w:rsidR="00E46B0A" w:rsidRDefault="00E46B0A" w:rsidP="00343828">
      <w:pPr>
        <w:rPr>
          <w:rFonts w:cs="Arial"/>
          <w:color w:val="000000" w:themeColor="text1"/>
        </w:rPr>
      </w:pPr>
    </w:p>
    <w:p w14:paraId="213852C9" w14:textId="34C957B1" w:rsidR="00E46B0A" w:rsidRPr="00F27636" w:rsidRDefault="00583DDB" w:rsidP="00F27636">
      <w:pPr>
        <w:pStyle w:val="PolLevel2"/>
      </w:pPr>
      <w:r w:rsidRPr="00F27636">
        <w:t>The Trust Board has agreed to tolerances for all Dashboard information where an Exception Report would be required to account for any significant changes in these figures.</w:t>
      </w:r>
    </w:p>
    <w:p w14:paraId="30E3B489" w14:textId="77777777" w:rsidR="00E46B0A" w:rsidRDefault="00E46B0A" w:rsidP="00343828">
      <w:pPr>
        <w:rPr>
          <w:rFonts w:cs="Arial"/>
          <w:color w:val="000000" w:themeColor="text1"/>
        </w:rPr>
      </w:pPr>
    </w:p>
    <w:p w14:paraId="4DCC7EE2" w14:textId="12908C7C" w:rsidR="00E46B0A" w:rsidRPr="00F27636" w:rsidRDefault="00394AF5" w:rsidP="00F27636">
      <w:pPr>
        <w:pStyle w:val="PolLevel2"/>
      </w:pPr>
      <w:r w:rsidRPr="00F27636">
        <w:t xml:space="preserve">The </w:t>
      </w:r>
      <w:r w:rsidR="00583DDB" w:rsidRPr="00F27636">
        <w:t xml:space="preserve">Trust Risk Register must reflect the risk of violence and abuse against </w:t>
      </w:r>
      <w:r w:rsidR="00D43912" w:rsidRPr="00F27636">
        <w:t>staff and</w:t>
      </w:r>
      <w:r w:rsidR="00583DDB" w:rsidRPr="00F27636">
        <w:t xml:space="preserve"> be reflective of </w:t>
      </w:r>
      <w:r w:rsidR="007E1221" w:rsidRPr="00F27636">
        <w:t>on-going</w:t>
      </w:r>
      <w:r w:rsidR="00583DDB" w:rsidRPr="00F27636">
        <w:t xml:space="preserve"> prevention and management. The risk must be graded appropriately to reflect the consequence and likelihood of such </w:t>
      </w:r>
      <w:r w:rsidR="00D43912" w:rsidRPr="00F27636">
        <w:t>incidents and</w:t>
      </w:r>
      <w:r w:rsidR="00583DDB" w:rsidRPr="00F27636">
        <w:t xml:space="preserve"> must be reviewed on a two monthly basis prior to each meeting of the </w:t>
      </w:r>
      <w:r w:rsidR="0098267B">
        <w:t>People Committee</w:t>
      </w:r>
      <w:r w:rsidR="00583DDB" w:rsidRPr="00F27636">
        <w:t>.</w:t>
      </w:r>
    </w:p>
    <w:p w14:paraId="7998075A" w14:textId="77777777" w:rsidR="00E46B0A" w:rsidRDefault="00E46B0A" w:rsidP="00343828">
      <w:pPr>
        <w:rPr>
          <w:rFonts w:cs="Arial"/>
          <w:color w:val="000000" w:themeColor="text1"/>
        </w:rPr>
      </w:pPr>
    </w:p>
    <w:p w14:paraId="45EEEDB5" w14:textId="64F67E2E" w:rsidR="00E46B0A" w:rsidRPr="00F27636" w:rsidRDefault="00583DDB" w:rsidP="00F27636">
      <w:pPr>
        <w:pStyle w:val="PolLevel2"/>
        <w:rPr>
          <w:color w:val="000000" w:themeColor="text1"/>
        </w:rPr>
      </w:pPr>
      <w:r>
        <w:t>All History Mark</w:t>
      </w:r>
      <w:r w:rsidR="00BE2A58">
        <w:t>er</w:t>
      </w:r>
      <w:r>
        <w:t xml:space="preserve">s shall be monitored, audited and updated by the History Marking Review Group, which meets </w:t>
      </w:r>
      <w:r w:rsidR="00BE2A58">
        <w:t xml:space="preserve">twice </w:t>
      </w:r>
      <w:proofErr w:type="spellStart"/>
      <w:r w:rsidR="00BE2A58">
        <w:t>a</w:t>
      </w:r>
      <w:r>
        <w:t>month</w:t>
      </w:r>
      <w:proofErr w:type="spellEnd"/>
      <w:r>
        <w:t>, of which the</w:t>
      </w:r>
      <w:r w:rsidR="00386594">
        <w:t xml:space="preserve"> Security </w:t>
      </w:r>
      <w:r w:rsidR="00327556">
        <w:t xml:space="preserve">Team </w:t>
      </w:r>
      <w:r>
        <w:t xml:space="preserve">is a </w:t>
      </w:r>
      <w:r w:rsidR="00327556">
        <w:t>standing member</w:t>
      </w:r>
      <w:r>
        <w:t>.</w:t>
      </w:r>
    </w:p>
    <w:p w14:paraId="06197AF3" w14:textId="77777777" w:rsidR="00E46B0A" w:rsidRPr="00E46B0A" w:rsidRDefault="00E46B0A" w:rsidP="00343828">
      <w:pPr>
        <w:rPr>
          <w:rFonts w:cs="Arial"/>
          <w:b/>
        </w:rPr>
      </w:pPr>
    </w:p>
    <w:p w14:paraId="27C87848" w14:textId="7A2204A7" w:rsidR="00E46B0A" w:rsidRPr="00E46B0A" w:rsidRDefault="002748EF" w:rsidP="00F27636">
      <w:pPr>
        <w:pStyle w:val="Heading1"/>
        <w:numPr>
          <w:ilvl w:val="0"/>
          <w:numId w:val="23"/>
        </w:numPr>
        <w:rPr>
          <w:szCs w:val="20"/>
        </w:rPr>
      </w:pPr>
      <w:bookmarkStart w:id="96" w:name="_Toc141096327"/>
      <w:r w:rsidRPr="00E46B0A">
        <w:t>Audit and Review</w:t>
      </w:r>
      <w:bookmarkEnd w:id="96"/>
    </w:p>
    <w:p w14:paraId="3500109A" w14:textId="77777777" w:rsidR="00E46B0A" w:rsidRDefault="00E46B0A" w:rsidP="00343828">
      <w:pPr>
        <w:rPr>
          <w:rFonts w:cs="Arial"/>
          <w:bCs/>
          <w:szCs w:val="28"/>
        </w:rPr>
      </w:pPr>
    </w:p>
    <w:p w14:paraId="44020D66" w14:textId="50BB1ACD" w:rsidR="00E46B0A" w:rsidRPr="00F27636" w:rsidRDefault="00AE0D9B" w:rsidP="00F27636">
      <w:pPr>
        <w:pStyle w:val="PolLevel2"/>
        <w:rPr>
          <w:bCs/>
          <w:szCs w:val="28"/>
        </w:rPr>
      </w:pPr>
      <w:r w:rsidRPr="00F27636">
        <w:t xml:space="preserve">The </w:t>
      </w:r>
      <w:r w:rsidR="00534FF9" w:rsidRPr="00F27636">
        <w:t xml:space="preserve">Lead role for Security </w:t>
      </w:r>
      <w:r w:rsidRPr="00F27636">
        <w:t xml:space="preserve">will ensure that </w:t>
      </w:r>
      <w:r w:rsidR="00394AF5" w:rsidRPr="00F27636">
        <w:t>they</w:t>
      </w:r>
      <w:r w:rsidRPr="00F27636">
        <w:t xml:space="preserve"> </w:t>
      </w:r>
      <w:r w:rsidR="00394AF5" w:rsidRPr="00F27636">
        <w:t>are</w:t>
      </w:r>
      <w:r w:rsidRPr="00F27636">
        <w:t xml:space="preserve"> cognisant of the contents of this policy; continuously reviewing the content through its use, to ensure it meets the security needs of the</w:t>
      </w:r>
      <w:r w:rsidR="00E46B0A" w:rsidRPr="00F27636">
        <w:t xml:space="preserve"> </w:t>
      </w:r>
      <w:r w:rsidRPr="00F27636">
        <w:t>Trust, whilst remaining relevant and appropriate prior to its scheduled review.</w:t>
      </w:r>
    </w:p>
    <w:p w14:paraId="3BD14713" w14:textId="77777777" w:rsidR="00E46B0A" w:rsidRDefault="00E46B0A" w:rsidP="00343828">
      <w:pPr>
        <w:rPr>
          <w:rFonts w:cs="Arial"/>
        </w:rPr>
      </w:pPr>
    </w:p>
    <w:p w14:paraId="220F13F2" w14:textId="1DC8CF9C" w:rsidR="00383BF5" w:rsidRPr="00F27636" w:rsidRDefault="000846E7" w:rsidP="00F27636">
      <w:pPr>
        <w:pStyle w:val="PolLevel2"/>
      </w:pPr>
      <w:r w:rsidRPr="00F27636">
        <w:t>All policies have their effectiveness audited by the responsible Management Group at regular intervals, and initially six months after a new policy is approved and disseminated.</w:t>
      </w:r>
    </w:p>
    <w:p w14:paraId="4D0A8CE3" w14:textId="77777777" w:rsidR="00383BF5" w:rsidRDefault="00383BF5" w:rsidP="00343828">
      <w:pPr>
        <w:rPr>
          <w:rFonts w:cs="Arial"/>
        </w:rPr>
      </w:pPr>
    </w:p>
    <w:p w14:paraId="050D8843" w14:textId="377CE283" w:rsidR="00383BF5" w:rsidRPr="00F27636" w:rsidRDefault="000846E7" w:rsidP="00F27636">
      <w:pPr>
        <w:pStyle w:val="PolLevel2"/>
      </w:pPr>
      <w:r w:rsidRPr="00F27636">
        <w:t>Effectiveness will be reviewed using the tools set out in the Trust’s Policy and Procedure for the Development and Management of Trust Policies and Procedures (also known as the Policy on Policies).</w:t>
      </w:r>
    </w:p>
    <w:p w14:paraId="3CDE331E" w14:textId="77777777" w:rsidR="00383BF5" w:rsidRDefault="00383BF5" w:rsidP="00343828">
      <w:pPr>
        <w:rPr>
          <w:rFonts w:cs="Arial"/>
        </w:rPr>
      </w:pPr>
    </w:p>
    <w:p w14:paraId="24C78A94" w14:textId="73311421" w:rsidR="00383BF5" w:rsidRPr="00F27636" w:rsidRDefault="000846E7" w:rsidP="00F27636">
      <w:pPr>
        <w:pStyle w:val="PolLevel2"/>
      </w:pPr>
      <w:r w:rsidRPr="00F27636">
        <w:t>This document will be reviewed in its entirety every three years or sooner if new legislation, codes of practice or national standards are introduced, or if feedback from employees indicates that the policy is not working effectively.</w:t>
      </w:r>
    </w:p>
    <w:p w14:paraId="4E643449" w14:textId="77777777" w:rsidR="00383BF5" w:rsidRDefault="00383BF5" w:rsidP="00343828">
      <w:pPr>
        <w:rPr>
          <w:rFonts w:cs="Arial"/>
        </w:rPr>
      </w:pPr>
    </w:p>
    <w:p w14:paraId="79D46E26" w14:textId="161C1527" w:rsidR="00383BF5" w:rsidRPr="00F27636" w:rsidRDefault="000846E7" w:rsidP="00F27636">
      <w:pPr>
        <w:pStyle w:val="PolLevel2"/>
      </w:pPr>
      <w:r w:rsidRPr="00F27636">
        <w:t>All changes made to this policy will go through the governance route for development and approval as set out in the Policy on Policies.</w:t>
      </w:r>
    </w:p>
    <w:p w14:paraId="429550E4" w14:textId="77777777" w:rsidR="00383BF5" w:rsidRDefault="00383BF5" w:rsidP="00343828">
      <w:pPr>
        <w:rPr>
          <w:rFonts w:cs="Arial"/>
        </w:rPr>
      </w:pPr>
    </w:p>
    <w:p w14:paraId="7E7A04A9" w14:textId="65928F6E" w:rsidR="00383BF5" w:rsidRPr="00383BF5" w:rsidRDefault="002748EF" w:rsidP="00F27636">
      <w:pPr>
        <w:pStyle w:val="Heading1"/>
        <w:numPr>
          <w:ilvl w:val="0"/>
          <w:numId w:val="23"/>
        </w:numPr>
        <w:rPr>
          <w:szCs w:val="20"/>
        </w:rPr>
      </w:pPr>
      <w:bookmarkStart w:id="97" w:name="_Toc141096328"/>
      <w:r w:rsidRPr="00383BF5">
        <w:t>Associated Documentation</w:t>
      </w:r>
      <w:bookmarkEnd w:id="97"/>
    </w:p>
    <w:p w14:paraId="08AFB87C" w14:textId="77777777" w:rsidR="00383BF5" w:rsidRDefault="00383BF5" w:rsidP="00343828">
      <w:pPr>
        <w:rPr>
          <w:bCs/>
          <w:szCs w:val="28"/>
        </w:rPr>
      </w:pPr>
    </w:p>
    <w:p w14:paraId="6D6A74C2" w14:textId="2A11D1F0" w:rsidR="00383BF5" w:rsidRPr="00F27636" w:rsidRDefault="00A34830" w:rsidP="00533B15">
      <w:pPr>
        <w:pStyle w:val="PolLevel4"/>
        <w:numPr>
          <w:ilvl w:val="3"/>
          <w:numId w:val="27"/>
        </w:numPr>
        <w:rPr>
          <w:bCs/>
          <w:szCs w:val="28"/>
        </w:rPr>
      </w:pPr>
      <w:r>
        <w:t>Violence Prevention and Reduction Strategy</w:t>
      </w:r>
    </w:p>
    <w:p w14:paraId="3F6F3B58" w14:textId="77777777" w:rsidR="00383BF5" w:rsidRDefault="00383BF5" w:rsidP="00343828"/>
    <w:p w14:paraId="5C35F791" w14:textId="280E1603" w:rsidR="00383BF5" w:rsidRPr="00383BF5" w:rsidRDefault="007E1221" w:rsidP="00533B15">
      <w:pPr>
        <w:pStyle w:val="PolLevel4"/>
        <w:numPr>
          <w:ilvl w:val="3"/>
          <w:numId w:val="27"/>
        </w:numPr>
      </w:pPr>
      <w:r w:rsidRPr="00F27636">
        <w:t>Security Management Procedure</w:t>
      </w:r>
    </w:p>
    <w:p w14:paraId="22564A9D" w14:textId="77777777" w:rsidR="00383BF5" w:rsidRDefault="00383BF5" w:rsidP="00343828">
      <w:pPr>
        <w:rPr>
          <w:rFonts w:cs="Arial"/>
        </w:rPr>
      </w:pPr>
    </w:p>
    <w:p w14:paraId="5918E7A6" w14:textId="1D676339" w:rsidR="00383BF5" w:rsidRPr="00F27636" w:rsidRDefault="00534FF9" w:rsidP="00533B15">
      <w:pPr>
        <w:pStyle w:val="PolLevel4"/>
        <w:numPr>
          <w:ilvl w:val="3"/>
          <w:numId w:val="27"/>
        </w:numPr>
      </w:pPr>
      <w:r w:rsidRPr="00F27636">
        <w:t>ID &amp; Access Procedure</w:t>
      </w:r>
    </w:p>
    <w:p w14:paraId="460A599B" w14:textId="77777777" w:rsidR="00383BF5" w:rsidRDefault="00383BF5" w:rsidP="00343828">
      <w:pPr>
        <w:rPr>
          <w:rFonts w:cs="Arial"/>
        </w:rPr>
      </w:pPr>
    </w:p>
    <w:p w14:paraId="73257F41" w14:textId="2B7BC391" w:rsidR="00383BF5" w:rsidRPr="00F27636" w:rsidRDefault="00534FF9" w:rsidP="00533B15">
      <w:pPr>
        <w:pStyle w:val="PolLevel4"/>
        <w:numPr>
          <w:ilvl w:val="3"/>
          <w:numId w:val="27"/>
        </w:numPr>
      </w:pPr>
      <w:r w:rsidRPr="00F27636">
        <w:t xml:space="preserve">Violence </w:t>
      </w:r>
      <w:r w:rsidR="00B550BB" w:rsidRPr="00F27636">
        <w:t xml:space="preserve">Prevention and Reduction </w:t>
      </w:r>
      <w:r w:rsidRPr="00F27636">
        <w:t>Procedure</w:t>
      </w:r>
    </w:p>
    <w:p w14:paraId="2B5A1C1E" w14:textId="77777777" w:rsidR="00383BF5" w:rsidRDefault="00383BF5" w:rsidP="00343828">
      <w:pPr>
        <w:rPr>
          <w:rFonts w:cs="Arial"/>
        </w:rPr>
      </w:pPr>
    </w:p>
    <w:p w14:paraId="5870A79F" w14:textId="008FE53E" w:rsidR="00383BF5" w:rsidRPr="00F27636" w:rsidRDefault="00534FF9" w:rsidP="00533B15">
      <w:pPr>
        <w:pStyle w:val="PolLevel4"/>
        <w:numPr>
          <w:ilvl w:val="3"/>
          <w:numId w:val="27"/>
        </w:numPr>
      </w:pPr>
      <w:r w:rsidRPr="00F27636">
        <w:t>Site Security Procedure</w:t>
      </w:r>
    </w:p>
    <w:p w14:paraId="1DF9DC96" w14:textId="77777777" w:rsidR="00383BF5" w:rsidRDefault="00383BF5" w:rsidP="00343828">
      <w:pPr>
        <w:rPr>
          <w:rFonts w:cs="Arial"/>
        </w:rPr>
      </w:pPr>
    </w:p>
    <w:p w14:paraId="06967DA3" w14:textId="74DB5933" w:rsidR="00383BF5" w:rsidRPr="00F27636" w:rsidRDefault="007E1221" w:rsidP="00533B15">
      <w:pPr>
        <w:pStyle w:val="PolLevel4"/>
        <w:numPr>
          <w:ilvl w:val="3"/>
          <w:numId w:val="27"/>
        </w:numPr>
      </w:pPr>
      <w:r w:rsidRPr="00F27636">
        <w:t>CCTV (Buildings) Policy</w:t>
      </w:r>
    </w:p>
    <w:p w14:paraId="03A15F4E" w14:textId="77777777" w:rsidR="00383BF5" w:rsidRDefault="00383BF5" w:rsidP="00343828">
      <w:pPr>
        <w:rPr>
          <w:rFonts w:cs="Arial"/>
        </w:rPr>
      </w:pPr>
    </w:p>
    <w:p w14:paraId="5317B36E" w14:textId="565E8857" w:rsidR="00383BF5" w:rsidRPr="00F27636" w:rsidRDefault="00BC339B" w:rsidP="00533B15">
      <w:pPr>
        <w:pStyle w:val="PolLevel4"/>
        <w:numPr>
          <w:ilvl w:val="3"/>
          <w:numId w:val="27"/>
        </w:numPr>
      </w:pPr>
      <w:r w:rsidRPr="00F27636">
        <w:t>CCTV (Vehicles) Policy</w:t>
      </w:r>
    </w:p>
    <w:p w14:paraId="18707EF1" w14:textId="77777777" w:rsidR="00383BF5" w:rsidRDefault="00383BF5" w:rsidP="00343828">
      <w:pPr>
        <w:rPr>
          <w:rFonts w:cs="Arial"/>
        </w:rPr>
      </w:pPr>
    </w:p>
    <w:p w14:paraId="777BA079" w14:textId="4F4B57B4" w:rsidR="00383BF5" w:rsidRPr="00F27636" w:rsidRDefault="007E1221" w:rsidP="00533B15">
      <w:pPr>
        <w:pStyle w:val="PolLevel4"/>
        <w:numPr>
          <w:ilvl w:val="3"/>
          <w:numId w:val="27"/>
        </w:numPr>
      </w:pPr>
      <w:r w:rsidRPr="00F27636">
        <w:t>Lone Worker Policy</w:t>
      </w:r>
    </w:p>
    <w:p w14:paraId="07B37239" w14:textId="77777777" w:rsidR="00383BF5" w:rsidRDefault="00383BF5" w:rsidP="00343828">
      <w:pPr>
        <w:rPr>
          <w:rFonts w:cs="Arial"/>
        </w:rPr>
      </w:pPr>
    </w:p>
    <w:p w14:paraId="7F12E67A" w14:textId="5CC83559" w:rsidR="00383BF5" w:rsidRPr="00F27636" w:rsidRDefault="00534FF9" w:rsidP="00533B15">
      <w:pPr>
        <w:pStyle w:val="PolLevel4"/>
        <w:numPr>
          <w:ilvl w:val="3"/>
          <w:numId w:val="27"/>
        </w:numPr>
      </w:pPr>
      <w:r w:rsidRPr="00F27636">
        <w:t>History Marking Policy</w:t>
      </w:r>
    </w:p>
    <w:p w14:paraId="6DFAE29D" w14:textId="77777777" w:rsidR="00383BF5" w:rsidRDefault="00383BF5" w:rsidP="00343828">
      <w:pPr>
        <w:rPr>
          <w:rFonts w:cs="Arial"/>
        </w:rPr>
      </w:pPr>
    </w:p>
    <w:p w14:paraId="681CCC1C" w14:textId="1320D793" w:rsidR="00383BF5" w:rsidRPr="00F27636" w:rsidRDefault="007E1221" w:rsidP="00533B15">
      <w:pPr>
        <w:pStyle w:val="PolLevel4"/>
        <w:numPr>
          <w:ilvl w:val="3"/>
          <w:numId w:val="27"/>
        </w:numPr>
      </w:pPr>
      <w:r w:rsidRPr="00F27636">
        <w:t>History Marking Procedure</w:t>
      </w:r>
    </w:p>
    <w:p w14:paraId="3001ECF3" w14:textId="77777777" w:rsidR="00383BF5" w:rsidRDefault="00383BF5" w:rsidP="00343828">
      <w:pPr>
        <w:rPr>
          <w:rFonts w:cs="Arial"/>
        </w:rPr>
      </w:pPr>
    </w:p>
    <w:p w14:paraId="0F2C0DFC" w14:textId="33CF3A72" w:rsidR="00383BF5" w:rsidRPr="00F27636" w:rsidRDefault="0048789D" w:rsidP="00533B15">
      <w:pPr>
        <w:pStyle w:val="PolLevel4"/>
        <w:numPr>
          <w:ilvl w:val="3"/>
          <w:numId w:val="27"/>
        </w:numPr>
      </w:pPr>
      <w:r w:rsidRPr="00F27636">
        <w:t>Medicines Management Policy</w:t>
      </w:r>
    </w:p>
    <w:p w14:paraId="1FF67CEB" w14:textId="77777777" w:rsidR="00383BF5" w:rsidRDefault="00383BF5" w:rsidP="00343828">
      <w:pPr>
        <w:rPr>
          <w:rFonts w:cs="Arial"/>
        </w:rPr>
      </w:pPr>
    </w:p>
    <w:p w14:paraId="0A34C481" w14:textId="282148E7" w:rsidR="00383BF5" w:rsidRPr="00F27636" w:rsidRDefault="0048789D" w:rsidP="00533B15">
      <w:pPr>
        <w:pStyle w:val="PolLevel4"/>
        <w:numPr>
          <w:ilvl w:val="3"/>
          <w:numId w:val="27"/>
        </w:numPr>
      </w:pPr>
      <w:r w:rsidRPr="00F27636">
        <w:t>Medicines Management P</w:t>
      </w:r>
      <w:r w:rsidR="000C7E8E" w:rsidRPr="00F27636">
        <w:t>ro</w:t>
      </w:r>
      <w:r w:rsidRPr="00F27636">
        <w:t>cedure</w:t>
      </w:r>
    </w:p>
    <w:p w14:paraId="6C47F92E" w14:textId="77777777" w:rsidR="00383BF5" w:rsidRDefault="00383BF5" w:rsidP="00343828">
      <w:pPr>
        <w:rPr>
          <w:rFonts w:cs="Arial"/>
        </w:rPr>
      </w:pPr>
    </w:p>
    <w:p w14:paraId="2C2EDDC8" w14:textId="25634482" w:rsidR="00383BF5" w:rsidRPr="00F27636" w:rsidRDefault="00535D8F" w:rsidP="00533B15">
      <w:pPr>
        <w:pStyle w:val="PolLevel4"/>
        <w:numPr>
          <w:ilvl w:val="3"/>
          <w:numId w:val="27"/>
        </w:numPr>
      </w:pPr>
      <w:r w:rsidRPr="00F27636">
        <w:t>Incident Reporting</w:t>
      </w:r>
      <w:r w:rsidR="00BC339B" w:rsidRPr="00F27636">
        <w:t xml:space="preserve"> </w:t>
      </w:r>
      <w:r w:rsidR="00196362" w:rsidRPr="00F27636">
        <w:t xml:space="preserve">Policy (DATIX) </w:t>
      </w:r>
      <w:r w:rsidR="00BC339B" w:rsidRPr="00F27636">
        <w:t>and</w:t>
      </w:r>
      <w:r w:rsidRPr="00F27636">
        <w:t xml:space="preserve"> </w:t>
      </w:r>
      <w:r w:rsidR="00196362" w:rsidRPr="00F27636">
        <w:t>Procedure</w:t>
      </w:r>
    </w:p>
    <w:p w14:paraId="008CB74C" w14:textId="77777777" w:rsidR="00383BF5" w:rsidRDefault="00383BF5" w:rsidP="00343828">
      <w:pPr>
        <w:rPr>
          <w:rFonts w:cs="Arial"/>
        </w:rPr>
      </w:pPr>
    </w:p>
    <w:p w14:paraId="1AF611A1" w14:textId="1CFF131B" w:rsidR="00383BF5" w:rsidRPr="00F27636" w:rsidRDefault="00F96195" w:rsidP="00533B15">
      <w:pPr>
        <w:pStyle w:val="PolLevel4"/>
        <w:numPr>
          <w:ilvl w:val="3"/>
          <w:numId w:val="27"/>
        </w:numPr>
      </w:pPr>
      <w:r w:rsidRPr="00F27636">
        <w:t>Body Worn Camera Policy</w:t>
      </w:r>
    </w:p>
    <w:p w14:paraId="766515B7" w14:textId="77777777" w:rsidR="00383BF5" w:rsidRDefault="00383BF5" w:rsidP="00343828">
      <w:pPr>
        <w:rPr>
          <w:rFonts w:cs="Arial"/>
        </w:rPr>
      </w:pPr>
    </w:p>
    <w:p w14:paraId="7F1E32E5" w14:textId="6D0F1352" w:rsidR="00383BF5" w:rsidRPr="00F27636" w:rsidRDefault="00F96195" w:rsidP="00533B15">
      <w:pPr>
        <w:pStyle w:val="PolLevel4"/>
        <w:numPr>
          <w:ilvl w:val="3"/>
          <w:numId w:val="27"/>
        </w:numPr>
      </w:pPr>
      <w:r w:rsidRPr="00F27636">
        <w:t>Body Worn Camera Procedure</w:t>
      </w:r>
    </w:p>
    <w:p w14:paraId="60120F61" w14:textId="676A4A2E" w:rsidR="00383BF5" w:rsidRDefault="00533B15" w:rsidP="00343828">
      <w:pPr>
        <w:rPr>
          <w:rFonts w:cs="Arial"/>
        </w:rPr>
      </w:pPr>
      <w:r>
        <w:rPr>
          <w:rFonts w:cs="Arial"/>
        </w:rPr>
        <w:br w:type="page"/>
      </w:r>
    </w:p>
    <w:p w14:paraId="15BDD0C9" w14:textId="44937A28" w:rsidR="00383BF5" w:rsidRPr="00383BF5" w:rsidRDefault="000846E7" w:rsidP="00533B15">
      <w:pPr>
        <w:pStyle w:val="Heading1"/>
        <w:numPr>
          <w:ilvl w:val="0"/>
          <w:numId w:val="23"/>
        </w:numPr>
        <w:rPr>
          <w:szCs w:val="20"/>
        </w:rPr>
      </w:pPr>
      <w:bookmarkStart w:id="98" w:name="_Toc141096329"/>
      <w:r w:rsidRPr="00383BF5">
        <w:lastRenderedPageBreak/>
        <w:t>Equality Analysis</w:t>
      </w:r>
      <w:bookmarkEnd w:id="98"/>
    </w:p>
    <w:p w14:paraId="3D85E4DD" w14:textId="77777777" w:rsidR="00383BF5" w:rsidRDefault="00383BF5" w:rsidP="00F27636">
      <w:pPr>
        <w:rPr>
          <w:rFonts w:cs="Arial"/>
          <w:bCs/>
          <w:szCs w:val="28"/>
        </w:rPr>
      </w:pPr>
    </w:p>
    <w:p w14:paraId="02E79D0E" w14:textId="2DFF7DB2" w:rsidR="00383BF5" w:rsidRPr="00F27636" w:rsidRDefault="000846E7" w:rsidP="00F27636">
      <w:pPr>
        <w:pStyle w:val="PolLevel2"/>
        <w:rPr>
          <w:bCs/>
          <w:szCs w:val="28"/>
        </w:rPr>
      </w:pPr>
      <w:r w:rsidRPr="00F27636">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p>
    <w:p w14:paraId="0ABED04D" w14:textId="77777777" w:rsidR="00383BF5" w:rsidRDefault="00383BF5" w:rsidP="00F27636">
      <w:pPr>
        <w:rPr>
          <w:rFonts w:cs="Arial"/>
        </w:rPr>
      </w:pPr>
    </w:p>
    <w:p w14:paraId="13A17DD8" w14:textId="0A80D02C" w:rsidR="000846E7" w:rsidRPr="00F27636" w:rsidRDefault="000846E7" w:rsidP="00F27636">
      <w:pPr>
        <w:pStyle w:val="PolLevel2"/>
      </w:pPr>
      <w:r w:rsidRPr="00F27636">
        <w:t xml:space="preserve">Compliance with the Public Sector Equality Duty: If a contractor carries out functions of a public </w:t>
      </w:r>
      <w:proofErr w:type="gramStart"/>
      <w:r w:rsidRPr="00F27636">
        <w:t>nature</w:t>
      </w:r>
      <w:proofErr w:type="gramEnd"/>
      <w:r w:rsidRPr="00F27636">
        <w:t xml:space="preserve"> then for the duration of the contract, the contractor or supplier would itself be considered a public authority and have the duty to comply with the equalities duties when carrying out those functions.</w:t>
      </w:r>
      <w:r w:rsidRPr="00F27636">
        <w:rPr>
          <w:bCs/>
          <w:szCs w:val="28"/>
        </w:rPr>
        <w:t xml:space="preserve"> </w:t>
      </w:r>
    </w:p>
    <w:p w14:paraId="70D08517" w14:textId="77777777" w:rsidR="00D749A5" w:rsidRPr="004779E8" w:rsidRDefault="00D749A5" w:rsidP="00343828">
      <w:pPr>
        <w:rPr>
          <w:rFonts w:eastAsia="MS Mincho" w:cs="Arial"/>
          <w:szCs w:val="24"/>
          <w:lang w:val="en-US"/>
        </w:rPr>
      </w:pPr>
    </w:p>
    <w:p w14:paraId="2CD82479" w14:textId="77777777" w:rsidR="00D749A5" w:rsidRPr="000846E7" w:rsidRDefault="00D749A5" w:rsidP="00343828">
      <w:pPr>
        <w:rPr>
          <w:rFonts w:cs="Arial"/>
        </w:rPr>
      </w:pPr>
    </w:p>
    <w:p w14:paraId="2A149301" w14:textId="77777777" w:rsidR="00383BF5" w:rsidRPr="00383BF5" w:rsidRDefault="002748EF" w:rsidP="00F27636">
      <w:pPr>
        <w:pStyle w:val="Heading1"/>
        <w:numPr>
          <w:ilvl w:val="0"/>
          <w:numId w:val="23"/>
        </w:numPr>
      </w:pPr>
      <w:bookmarkStart w:id="99" w:name="_Toc141096330"/>
      <w:r w:rsidRPr="00383BF5">
        <w:t>References</w:t>
      </w:r>
      <w:bookmarkStart w:id="100" w:name="_Toc287437384"/>
      <w:bookmarkEnd w:id="99"/>
    </w:p>
    <w:p w14:paraId="44B864D9" w14:textId="77777777" w:rsidR="00383BF5" w:rsidRDefault="00383BF5" w:rsidP="00343828">
      <w:pPr>
        <w:rPr>
          <w:rFonts w:cs="Arial"/>
          <w:bCs/>
          <w:szCs w:val="28"/>
        </w:rPr>
      </w:pPr>
    </w:p>
    <w:p w14:paraId="09FC7D4A" w14:textId="725868C6" w:rsidR="00383BF5" w:rsidRPr="00F27636" w:rsidRDefault="00390F97" w:rsidP="00533B15">
      <w:pPr>
        <w:pStyle w:val="PolLevel4"/>
        <w:numPr>
          <w:ilvl w:val="3"/>
          <w:numId w:val="26"/>
        </w:numPr>
        <w:rPr>
          <w:bCs/>
          <w:szCs w:val="28"/>
        </w:rPr>
      </w:pPr>
      <w:r w:rsidRPr="00F27636">
        <w:t>Health Care Act 1977</w:t>
      </w:r>
    </w:p>
    <w:p w14:paraId="7F5BA9E8" w14:textId="77777777" w:rsidR="00383BF5" w:rsidRDefault="00383BF5" w:rsidP="00343828">
      <w:pPr>
        <w:rPr>
          <w:rFonts w:cs="Arial"/>
        </w:rPr>
      </w:pPr>
    </w:p>
    <w:p w14:paraId="483D8959" w14:textId="365F415F" w:rsidR="00383BF5" w:rsidRPr="00F27636" w:rsidRDefault="006811AD" w:rsidP="00533B15">
      <w:pPr>
        <w:pStyle w:val="PolLevel4"/>
        <w:numPr>
          <w:ilvl w:val="3"/>
          <w:numId w:val="26"/>
        </w:numPr>
        <w:rPr>
          <w:rFonts w:cs="Arial"/>
        </w:rPr>
      </w:pPr>
      <w:r w:rsidRPr="00F27636">
        <w:rPr>
          <w:lang w:val="en"/>
        </w:rPr>
        <w:t>Assaults on Emergency Workers (Offences) Act 2018</w:t>
      </w:r>
    </w:p>
    <w:p w14:paraId="35B35912" w14:textId="77777777" w:rsidR="00383BF5" w:rsidRDefault="00383BF5" w:rsidP="00343828">
      <w:pPr>
        <w:rPr>
          <w:rFonts w:cs="Arial"/>
        </w:rPr>
      </w:pPr>
    </w:p>
    <w:p w14:paraId="721F46FF" w14:textId="7BCAFF5C" w:rsidR="00383BF5" w:rsidRPr="00F27636" w:rsidRDefault="00534FF9" w:rsidP="00533B15">
      <w:pPr>
        <w:pStyle w:val="PolLevel4"/>
        <w:numPr>
          <w:ilvl w:val="3"/>
          <w:numId w:val="26"/>
        </w:numPr>
      </w:pPr>
      <w:r w:rsidRPr="00F27636">
        <w:t>Investigatory Powers Act 2016</w:t>
      </w:r>
    </w:p>
    <w:p w14:paraId="0177E453" w14:textId="77777777" w:rsidR="00383BF5" w:rsidRDefault="00383BF5" w:rsidP="00343828">
      <w:pPr>
        <w:rPr>
          <w:rFonts w:cs="Arial"/>
        </w:rPr>
      </w:pPr>
    </w:p>
    <w:p w14:paraId="74B03D55" w14:textId="34F3A118" w:rsidR="00464829" w:rsidRPr="00F27636" w:rsidRDefault="00534FF9" w:rsidP="00533B15">
      <w:pPr>
        <w:pStyle w:val="PolLevel4"/>
        <w:numPr>
          <w:ilvl w:val="3"/>
          <w:numId w:val="26"/>
        </w:numPr>
      </w:pPr>
      <w:r w:rsidRPr="00F27636">
        <w:t>Offences Against a Person Act 1861</w:t>
      </w:r>
    </w:p>
    <w:p w14:paraId="024B37B1" w14:textId="77777777" w:rsidR="00464829" w:rsidRDefault="00464829" w:rsidP="00343828">
      <w:pPr>
        <w:rPr>
          <w:rFonts w:cs="Arial"/>
        </w:rPr>
      </w:pPr>
    </w:p>
    <w:p w14:paraId="4BF3FDD1" w14:textId="282DDB85" w:rsidR="00464829" w:rsidRPr="00F27636" w:rsidRDefault="00534FF9" w:rsidP="00533B15">
      <w:pPr>
        <w:pStyle w:val="PolLevel4"/>
        <w:numPr>
          <w:ilvl w:val="3"/>
          <w:numId w:val="26"/>
        </w:numPr>
      </w:pPr>
      <w:r w:rsidRPr="00F27636">
        <w:t>Theft Act 1968</w:t>
      </w:r>
    </w:p>
    <w:p w14:paraId="13482E78" w14:textId="77777777" w:rsidR="00464829" w:rsidRDefault="00464829" w:rsidP="00343828">
      <w:pPr>
        <w:rPr>
          <w:rFonts w:cs="Arial"/>
        </w:rPr>
      </w:pPr>
    </w:p>
    <w:p w14:paraId="4F79CFF3" w14:textId="6A5D2B04" w:rsidR="00464829" w:rsidRPr="00F27636" w:rsidRDefault="00534FF9" w:rsidP="00533B15">
      <w:pPr>
        <w:pStyle w:val="PolLevel4"/>
        <w:numPr>
          <w:ilvl w:val="3"/>
          <w:numId w:val="26"/>
        </w:numPr>
      </w:pPr>
      <w:r w:rsidRPr="00F27636">
        <w:t>Criminal Damage Act 1971</w:t>
      </w:r>
    </w:p>
    <w:p w14:paraId="109F95EB" w14:textId="77777777" w:rsidR="00464829" w:rsidRDefault="00464829" w:rsidP="00343828">
      <w:pPr>
        <w:rPr>
          <w:rFonts w:cs="Arial"/>
        </w:rPr>
      </w:pPr>
    </w:p>
    <w:p w14:paraId="02282EAE" w14:textId="0F2B7120" w:rsidR="00464829" w:rsidRPr="00F27636" w:rsidRDefault="00534FF9" w:rsidP="00533B15">
      <w:pPr>
        <w:pStyle w:val="PolLevel4"/>
        <w:numPr>
          <w:ilvl w:val="3"/>
          <w:numId w:val="26"/>
        </w:numPr>
      </w:pPr>
      <w:r w:rsidRPr="00F27636">
        <w:t>Criminal Justice Act 1988</w:t>
      </w:r>
    </w:p>
    <w:p w14:paraId="689BCCAB" w14:textId="77777777" w:rsidR="00464829" w:rsidRDefault="00464829" w:rsidP="00343828">
      <w:pPr>
        <w:rPr>
          <w:rFonts w:cs="Arial"/>
        </w:rPr>
      </w:pPr>
    </w:p>
    <w:p w14:paraId="1B79EF0B" w14:textId="5A938680" w:rsidR="00464829" w:rsidRPr="00F27636" w:rsidRDefault="003E3863" w:rsidP="00533B15">
      <w:pPr>
        <w:pStyle w:val="PolLevel4"/>
        <w:numPr>
          <w:ilvl w:val="3"/>
          <w:numId w:val="26"/>
        </w:numPr>
      </w:pPr>
      <w:r w:rsidRPr="00F27636">
        <w:t>Protection from Harassment Act 1997</w:t>
      </w:r>
    </w:p>
    <w:p w14:paraId="7D1948D4" w14:textId="77777777" w:rsidR="00464829" w:rsidRDefault="00464829" w:rsidP="00343828">
      <w:pPr>
        <w:rPr>
          <w:rFonts w:cs="Arial"/>
        </w:rPr>
      </w:pPr>
    </w:p>
    <w:p w14:paraId="0D4F4BD5" w14:textId="2FD442F4" w:rsidR="00464829" w:rsidRPr="00F27636" w:rsidRDefault="003E3863" w:rsidP="00533B15">
      <w:pPr>
        <w:pStyle w:val="PolLevel4"/>
        <w:numPr>
          <w:ilvl w:val="3"/>
          <w:numId w:val="26"/>
        </w:numPr>
      </w:pPr>
      <w:r w:rsidRPr="00F27636">
        <w:t>Malicious Communications Act 1988</w:t>
      </w:r>
    </w:p>
    <w:p w14:paraId="0B0DBC87" w14:textId="77777777" w:rsidR="00464829" w:rsidRDefault="00464829" w:rsidP="00343828">
      <w:pPr>
        <w:rPr>
          <w:rFonts w:cs="Arial"/>
        </w:rPr>
      </w:pPr>
    </w:p>
    <w:p w14:paraId="6009871B" w14:textId="361CD46A" w:rsidR="00464829" w:rsidRPr="00F27636" w:rsidRDefault="00AB6548" w:rsidP="00533B15">
      <w:pPr>
        <w:pStyle w:val="PolLevel4"/>
        <w:numPr>
          <w:ilvl w:val="3"/>
          <w:numId w:val="26"/>
        </w:numPr>
      </w:pPr>
      <w:r w:rsidRPr="00F27636">
        <w:t>Communications Act 2003</w:t>
      </w:r>
    </w:p>
    <w:p w14:paraId="1DFF245D" w14:textId="77777777" w:rsidR="00464829" w:rsidRDefault="00464829" w:rsidP="00343828">
      <w:pPr>
        <w:rPr>
          <w:rFonts w:cs="Arial"/>
        </w:rPr>
      </w:pPr>
    </w:p>
    <w:p w14:paraId="6010007C" w14:textId="689101CE" w:rsidR="00464829" w:rsidRPr="00F27636" w:rsidRDefault="00534FF9" w:rsidP="00533B15">
      <w:pPr>
        <w:pStyle w:val="PolLevel4"/>
        <w:numPr>
          <w:ilvl w:val="3"/>
          <w:numId w:val="26"/>
        </w:numPr>
      </w:pPr>
      <w:r w:rsidRPr="00F27636">
        <w:t xml:space="preserve">NHS Violence </w:t>
      </w:r>
      <w:r w:rsidR="004E2713" w:rsidRPr="00F27636">
        <w:t>Prevention and Reduction Standard</w:t>
      </w:r>
    </w:p>
    <w:p w14:paraId="60C21AFE" w14:textId="77777777" w:rsidR="00464829" w:rsidRDefault="00464829" w:rsidP="00343828">
      <w:pPr>
        <w:rPr>
          <w:rFonts w:cs="Arial"/>
        </w:rPr>
      </w:pPr>
    </w:p>
    <w:p w14:paraId="592B1699" w14:textId="60EF8B5B" w:rsidR="00464829" w:rsidRPr="00F27636" w:rsidRDefault="007E1221" w:rsidP="00533B15">
      <w:pPr>
        <w:pStyle w:val="PolLevel4"/>
        <w:numPr>
          <w:ilvl w:val="3"/>
          <w:numId w:val="26"/>
        </w:numPr>
      </w:pPr>
      <w:r w:rsidRPr="00F27636">
        <w:t>The Department of Health and Counter Fraud S</w:t>
      </w:r>
      <w:r w:rsidR="007B5F8C" w:rsidRPr="00F27636">
        <w:t>trategy:2020-2023</w:t>
      </w:r>
    </w:p>
    <w:p w14:paraId="01DE1BBD" w14:textId="77777777" w:rsidR="00464829" w:rsidRDefault="00464829" w:rsidP="00343828">
      <w:pPr>
        <w:rPr>
          <w:rFonts w:cs="Arial"/>
        </w:rPr>
      </w:pPr>
    </w:p>
    <w:p w14:paraId="15F9B5A6" w14:textId="650EBFB9" w:rsidR="007E1221" w:rsidRPr="00F27636" w:rsidRDefault="007E1221" w:rsidP="00533B15">
      <w:pPr>
        <w:pStyle w:val="PolLevel4"/>
        <w:numPr>
          <w:ilvl w:val="3"/>
          <w:numId w:val="26"/>
        </w:numPr>
      </w:pPr>
      <w:r w:rsidRPr="00F27636">
        <w:t>Health and Safety at Work Act (1974)</w:t>
      </w:r>
    </w:p>
    <w:bookmarkEnd w:id="100"/>
    <w:p w14:paraId="15F9B5A8" w14:textId="77777777" w:rsidR="00D43B0D" w:rsidRPr="00985F87" w:rsidRDefault="00D43B0D" w:rsidP="00343828">
      <w:pPr>
        <w:rPr>
          <w:rFonts w:cs="Arial"/>
        </w:rPr>
      </w:pPr>
    </w:p>
    <w:p w14:paraId="15F9B623" w14:textId="77777777" w:rsidR="00764F08" w:rsidRPr="00464829" w:rsidRDefault="00764F08" w:rsidP="00464829">
      <w:pPr>
        <w:rPr>
          <w:rFonts w:cs="Arial"/>
          <w:bCs/>
          <w:szCs w:val="24"/>
        </w:rPr>
      </w:pPr>
    </w:p>
    <w:sectPr w:rsidR="00764F08" w:rsidRPr="00464829" w:rsidSect="00533B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EDEE" w14:textId="77777777" w:rsidR="00B6644E" w:rsidRDefault="00B6644E">
      <w:r>
        <w:separator/>
      </w:r>
    </w:p>
    <w:p w14:paraId="2BFBBDD2" w14:textId="77777777" w:rsidR="00B6644E" w:rsidRDefault="00B6644E"/>
    <w:p w14:paraId="73ADEC84" w14:textId="77777777" w:rsidR="00B6644E" w:rsidRDefault="00B6644E" w:rsidP="00ED0BD0"/>
    <w:p w14:paraId="72576BE0" w14:textId="77777777" w:rsidR="00B6644E" w:rsidRDefault="00B6644E" w:rsidP="00ED0BD0"/>
    <w:p w14:paraId="1ED26E2F" w14:textId="77777777" w:rsidR="00B6644E" w:rsidRDefault="00B6644E" w:rsidP="00100CA2"/>
    <w:p w14:paraId="09D9B3A8" w14:textId="77777777" w:rsidR="00B6644E" w:rsidRDefault="00B6644E" w:rsidP="00100CA2"/>
    <w:p w14:paraId="7FCDD871" w14:textId="77777777" w:rsidR="00B6644E" w:rsidRDefault="00B6644E" w:rsidP="00100CA2"/>
    <w:p w14:paraId="16F571E5" w14:textId="77777777" w:rsidR="00B6644E" w:rsidRDefault="00B6644E" w:rsidP="00100CA2"/>
    <w:p w14:paraId="611F27FE" w14:textId="77777777" w:rsidR="00B6644E" w:rsidRDefault="00B6644E" w:rsidP="00AF2D35"/>
  </w:endnote>
  <w:endnote w:type="continuationSeparator" w:id="0">
    <w:p w14:paraId="6AD0EE8D" w14:textId="77777777" w:rsidR="00B6644E" w:rsidRDefault="00B6644E">
      <w:r>
        <w:continuationSeparator/>
      </w:r>
    </w:p>
    <w:p w14:paraId="6C5C885D" w14:textId="77777777" w:rsidR="00B6644E" w:rsidRDefault="00B6644E"/>
    <w:p w14:paraId="34E85358" w14:textId="77777777" w:rsidR="00B6644E" w:rsidRDefault="00B6644E" w:rsidP="00ED0BD0"/>
    <w:p w14:paraId="4FD21EAD" w14:textId="77777777" w:rsidR="00B6644E" w:rsidRDefault="00B6644E" w:rsidP="00ED0BD0"/>
    <w:p w14:paraId="4AEFA62B" w14:textId="77777777" w:rsidR="00B6644E" w:rsidRDefault="00B6644E" w:rsidP="00100CA2"/>
    <w:p w14:paraId="66C698DC" w14:textId="77777777" w:rsidR="00B6644E" w:rsidRDefault="00B6644E" w:rsidP="00100CA2"/>
    <w:p w14:paraId="6BE31692" w14:textId="77777777" w:rsidR="00B6644E" w:rsidRDefault="00B6644E" w:rsidP="00100CA2"/>
    <w:p w14:paraId="01E5D967" w14:textId="77777777" w:rsidR="00B6644E" w:rsidRDefault="00B6644E" w:rsidP="00100CA2"/>
    <w:p w14:paraId="69D1E95B" w14:textId="77777777" w:rsidR="00B6644E" w:rsidRDefault="00B6644E" w:rsidP="00AF2D35"/>
  </w:endnote>
  <w:endnote w:type="continuationNotice" w:id="1">
    <w:p w14:paraId="4B3318E3" w14:textId="77777777" w:rsidR="00B6644E" w:rsidRDefault="00B66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09728"/>
      <w:docPartObj>
        <w:docPartGallery w:val="Page Numbers (Bottom of Page)"/>
        <w:docPartUnique/>
      </w:docPartObj>
    </w:sdtPr>
    <w:sdtEndPr>
      <w:rPr>
        <w:sz w:val="20"/>
        <w:szCs w:val="20"/>
      </w:rPr>
    </w:sdtEndPr>
    <w:sdtContent>
      <w:sdt>
        <w:sdtPr>
          <w:rPr>
            <w:sz w:val="20"/>
            <w:szCs w:val="20"/>
          </w:rPr>
          <w:id w:val="565050523"/>
          <w:docPartObj>
            <w:docPartGallery w:val="Page Numbers (Top of Page)"/>
            <w:docPartUnique/>
          </w:docPartObj>
        </w:sdtPr>
        <w:sdtEndPr/>
        <w:sdtContent>
          <w:p w14:paraId="15F9B651" w14:textId="77777777" w:rsidR="00292198" w:rsidRDefault="00292198" w:rsidP="008C0DD5">
            <w:pPr>
              <w:pStyle w:val="Footer"/>
              <w:rPr>
                <w:sz w:val="20"/>
                <w:szCs w:val="20"/>
              </w:rPr>
            </w:pPr>
          </w:p>
          <w:p w14:paraId="15F9B652" w14:textId="254F1ADE" w:rsidR="00292198" w:rsidRDefault="00292198" w:rsidP="008C0DD5">
            <w:pPr>
              <w:pStyle w:val="Footer"/>
              <w:rPr>
                <w:sz w:val="20"/>
                <w:szCs w:val="20"/>
              </w:rPr>
            </w:pPr>
            <w:r>
              <w:rPr>
                <w:sz w:val="20"/>
                <w:szCs w:val="20"/>
              </w:rPr>
              <w:t>Security</w:t>
            </w:r>
            <w:r w:rsidR="00F27636">
              <w:rPr>
                <w:sz w:val="20"/>
                <w:szCs w:val="20"/>
              </w:rPr>
              <w:t xml:space="preserve"> </w:t>
            </w:r>
            <w:r>
              <w:rPr>
                <w:sz w:val="20"/>
                <w:szCs w:val="20"/>
              </w:rPr>
              <w:t>Management</w:t>
            </w:r>
            <w:r w:rsidR="00F27636">
              <w:rPr>
                <w:sz w:val="20"/>
                <w:szCs w:val="20"/>
              </w:rPr>
              <w:t xml:space="preserve"> </w:t>
            </w:r>
            <w:r>
              <w:rPr>
                <w:sz w:val="20"/>
                <w:szCs w:val="20"/>
              </w:rPr>
              <w:t>Policy</w:t>
            </w:r>
            <w:r w:rsidR="00F27636">
              <w:rPr>
                <w:sz w:val="20"/>
                <w:szCs w:val="20"/>
              </w:rPr>
              <w:t xml:space="preserve"> </w:t>
            </w:r>
            <w:r>
              <w:rPr>
                <w:sz w:val="20"/>
                <w:szCs w:val="20"/>
              </w:rPr>
              <w:t>V</w:t>
            </w:r>
            <w:r w:rsidR="001856CC">
              <w:rPr>
                <w:sz w:val="20"/>
                <w:szCs w:val="20"/>
              </w:rPr>
              <w:t>5</w:t>
            </w:r>
            <w:r>
              <w:rPr>
                <w:sz w:val="20"/>
                <w:szCs w:val="20"/>
              </w:rPr>
              <w:t>.0</w:t>
            </w:r>
            <w:r w:rsidRPr="008C0DD5">
              <w:rPr>
                <w:sz w:val="20"/>
                <w:szCs w:val="20"/>
              </w:rPr>
              <w:tab/>
            </w:r>
            <w:r w:rsidRPr="008C0DD5">
              <w:rPr>
                <w:sz w:val="20"/>
                <w:szCs w:val="20"/>
              </w:rPr>
              <w:tab/>
            </w:r>
            <w:r>
              <w:rPr>
                <w:sz w:val="20"/>
                <w:szCs w:val="20"/>
              </w:rPr>
              <w:t xml:space="preserve">    </w:t>
            </w:r>
          </w:p>
          <w:p w14:paraId="15F9B653" w14:textId="268B15DF" w:rsidR="00292198" w:rsidRPr="008C0DD5" w:rsidRDefault="00292198" w:rsidP="00FC765C">
            <w:pPr>
              <w:pStyle w:val="Footer"/>
              <w:jc w:val="center"/>
              <w:rPr>
                <w:sz w:val="20"/>
                <w:szCs w:val="20"/>
              </w:rPr>
            </w:pPr>
            <w:r>
              <w:rPr>
                <w:sz w:val="20"/>
                <w:szCs w:val="20"/>
              </w:rPr>
              <w:tab/>
              <w:t xml:space="preserve">                                                                                                   </w:t>
            </w:r>
            <w:r w:rsidRPr="008C0DD5">
              <w:rPr>
                <w:sz w:val="20"/>
                <w:szCs w:val="20"/>
              </w:rPr>
              <w:t xml:space="preserve">Page </w:t>
            </w:r>
            <w:r w:rsidRPr="008C0DD5">
              <w:rPr>
                <w:sz w:val="20"/>
                <w:szCs w:val="20"/>
              </w:rPr>
              <w:fldChar w:fldCharType="begin"/>
            </w:r>
            <w:r w:rsidRPr="008C0DD5">
              <w:rPr>
                <w:sz w:val="20"/>
                <w:szCs w:val="20"/>
              </w:rPr>
              <w:instrText xml:space="preserve"> PAGE </w:instrText>
            </w:r>
            <w:r w:rsidRPr="008C0DD5">
              <w:rPr>
                <w:sz w:val="20"/>
                <w:szCs w:val="20"/>
              </w:rPr>
              <w:fldChar w:fldCharType="separate"/>
            </w:r>
            <w:r w:rsidR="003257F3">
              <w:rPr>
                <w:noProof/>
                <w:sz w:val="20"/>
                <w:szCs w:val="20"/>
              </w:rPr>
              <w:t>19</w:t>
            </w:r>
            <w:r w:rsidRPr="008C0DD5">
              <w:rPr>
                <w:sz w:val="20"/>
                <w:szCs w:val="20"/>
              </w:rPr>
              <w:fldChar w:fldCharType="end"/>
            </w:r>
            <w:r w:rsidRPr="008C0DD5">
              <w:rPr>
                <w:sz w:val="20"/>
                <w:szCs w:val="20"/>
              </w:rPr>
              <w:t xml:space="preserve"> of </w:t>
            </w:r>
            <w:r w:rsidRPr="008C0DD5">
              <w:rPr>
                <w:sz w:val="20"/>
                <w:szCs w:val="20"/>
              </w:rPr>
              <w:fldChar w:fldCharType="begin"/>
            </w:r>
            <w:r w:rsidRPr="008C0DD5">
              <w:rPr>
                <w:sz w:val="20"/>
                <w:szCs w:val="20"/>
              </w:rPr>
              <w:instrText xml:space="preserve"> NUMPAGES  </w:instrText>
            </w:r>
            <w:r w:rsidRPr="008C0DD5">
              <w:rPr>
                <w:sz w:val="20"/>
                <w:szCs w:val="20"/>
              </w:rPr>
              <w:fldChar w:fldCharType="separate"/>
            </w:r>
            <w:r w:rsidR="003257F3">
              <w:rPr>
                <w:noProof/>
                <w:sz w:val="20"/>
                <w:szCs w:val="20"/>
              </w:rPr>
              <w:t>19</w:t>
            </w:r>
            <w:r w:rsidRPr="008C0DD5">
              <w:rPr>
                <w:sz w:val="20"/>
                <w:szCs w:val="20"/>
              </w:rPr>
              <w:fldChar w:fldCharType="end"/>
            </w:r>
          </w:p>
        </w:sdtContent>
      </w:sdt>
    </w:sdtContent>
  </w:sdt>
  <w:p w14:paraId="15F9B654" w14:textId="77777777" w:rsidR="00292198" w:rsidRPr="008C0DD5" w:rsidRDefault="00292198">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D461" w14:textId="77777777" w:rsidR="00B6644E" w:rsidRDefault="00B6644E">
      <w:r>
        <w:separator/>
      </w:r>
    </w:p>
    <w:p w14:paraId="7239705E" w14:textId="77777777" w:rsidR="00B6644E" w:rsidRDefault="00B6644E"/>
    <w:p w14:paraId="2098ABE7" w14:textId="77777777" w:rsidR="00B6644E" w:rsidRDefault="00B6644E" w:rsidP="00ED0BD0"/>
    <w:p w14:paraId="1C078A2C" w14:textId="77777777" w:rsidR="00B6644E" w:rsidRDefault="00B6644E" w:rsidP="00ED0BD0"/>
    <w:p w14:paraId="684C77DF" w14:textId="77777777" w:rsidR="00B6644E" w:rsidRDefault="00B6644E" w:rsidP="00100CA2"/>
    <w:p w14:paraId="589FA790" w14:textId="77777777" w:rsidR="00B6644E" w:rsidRDefault="00B6644E" w:rsidP="00100CA2"/>
    <w:p w14:paraId="7FEC1B52" w14:textId="77777777" w:rsidR="00B6644E" w:rsidRDefault="00B6644E" w:rsidP="00100CA2"/>
    <w:p w14:paraId="1FE11B17" w14:textId="77777777" w:rsidR="00B6644E" w:rsidRDefault="00B6644E" w:rsidP="00100CA2"/>
    <w:p w14:paraId="19D91667" w14:textId="77777777" w:rsidR="00B6644E" w:rsidRDefault="00B6644E" w:rsidP="00AF2D35"/>
  </w:footnote>
  <w:footnote w:type="continuationSeparator" w:id="0">
    <w:p w14:paraId="1D125822" w14:textId="77777777" w:rsidR="00B6644E" w:rsidRDefault="00B6644E">
      <w:r>
        <w:continuationSeparator/>
      </w:r>
    </w:p>
    <w:p w14:paraId="63CBC699" w14:textId="77777777" w:rsidR="00B6644E" w:rsidRDefault="00B6644E"/>
    <w:p w14:paraId="1B8EC8E8" w14:textId="77777777" w:rsidR="00B6644E" w:rsidRDefault="00B6644E" w:rsidP="00ED0BD0"/>
    <w:p w14:paraId="4FBE2048" w14:textId="77777777" w:rsidR="00B6644E" w:rsidRDefault="00B6644E" w:rsidP="00ED0BD0"/>
    <w:p w14:paraId="4BE9463E" w14:textId="77777777" w:rsidR="00B6644E" w:rsidRDefault="00B6644E" w:rsidP="00100CA2"/>
    <w:p w14:paraId="4F389B6E" w14:textId="77777777" w:rsidR="00B6644E" w:rsidRDefault="00B6644E" w:rsidP="00100CA2"/>
    <w:p w14:paraId="49AF9BCF" w14:textId="77777777" w:rsidR="00B6644E" w:rsidRDefault="00B6644E" w:rsidP="00100CA2"/>
    <w:p w14:paraId="70F92DA9" w14:textId="77777777" w:rsidR="00B6644E" w:rsidRDefault="00B6644E" w:rsidP="00100CA2"/>
    <w:p w14:paraId="2259A7F4" w14:textId="77777777" w:rsidR="00B6644E" w:rsidRDefault="00B6644E" w:rsidP="00AF2D35"/>
  </w:footnote>
  <w:footnote w:type="continuationNotice" w:id="1">
    <w:p w14:paraId="10C640A8" w14:textId="77777777" w:rsidR="00B6644E" w:rsidRDefault="00B66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B650" w14:textId="77777777" w:rsidR="00292198" w:rsidRPr="008C0DD5" w:rsidRDefault="00292198" w:rsidP="008C0DD5">
    <w:pPr>
      <w:pStyle w:val="Header"/>
      <w:jc w:val="center"/>
      <w:rPr>
        <w:sz w:val="20"/>
      </w:rPr>
    </w:pPr>
    <w:r w:rsidRPr="008C0DD5">
      <w:rPr>
        <w:sz w:val="20"/>
      </w:rPr>
      <w:t>Security Management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427" w14:textId="2E5B9FC2" w:rsidR="00292198" w:rsidRDefault="00F07CD1" w:rsidP="00DC36EE">
    <w:pPr>
      <w:pStyle w:val="Header"/>
      <w:tabs>
        <w:tab w:val="clear" w:pos="4153"/>
        <w:tab w:val="clear" w:pos="8306"/>
        <w:tab w:val="left" w:pos="2599"/>
      </w:tabs>
    </w:pPr>
    <w:r>
      <w:rPr>
        <w:noProof/>
      </w:rPr>
      <w:drawing>
        <wp:anchor distT="0" distB="0" distL="114300" distR="114300" simplePos="0" relativeHeight="251658240" behindDoc="1" locked="0" layoutInCell="1" allowOverlap="1" wp14:anchorId="08ADB19D" wp14:editId="37E473AE">
          <wp:simplePos x="0" y="0"/>
          <wp:positionH relativeFrom="page">
            <wp:align>right</wp:align>
          </wp:positionH>
          <wp:positionV relativeFrom="line">
            <wp:posOffset>-450215</wp:posOffset>
          </wp:positionV>
          <wp:extent cx="7555230" cy="10674350"/>
          <wp:effectExtent l="0" t="0" r="0" b="0"/>
          <wp:wrapNone/>
          <wp:docPr id="458494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1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42219B"/>
    <w:multiLevelType w:val="hybridMultilevel"/>
    <w:tmpl w:val="C6623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30DB7"/>
    <w:multiLevelType w:val="hybridMultilevel"/>
    <w:tmpl w:val="B2AC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14C6D"/>
    <w:multiLevelType w:val="hybridMultilevel"/>
    <w:tmpl w:val="53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8335F5B"/>
    <w:multiLevelType w:val="multilevel"/>
    <w:tmpl w:val="3CBC5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4F42A8"/>
    <w:multiLevelType w:val="hybridMultilevel"/>
    <w:tmpl w:val="EBCE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636"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30839"/>
    <w:multiLevelType w:val="hybridMultilevel"/>
    <w:tmpl w:val="3BB6227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9"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2756112"/>
    <w:multiLevelType w:val="hybridMultilevel"/>
    <w:tmpl w:val="9A82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49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A16"/>
    <w:multiLevelType w:val="hybridMultilevel"/>
    <w:tmpl w:val="358A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0D70602"/>
    <w:multiLevelType w:val="multilevel"/>
    <w:tmpl w:val="BE148A34"/>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color w:val="auto"/>
        <w:sz w:val="24"/>
      </w:rPr>
    </w:lvl>
    <w:lvl w:ilvl="2">
      <w:start w:val="1"/>
      <w:numFmt w:val="decimal"/>
      <w:pStyle w:val="PolLevel3"/>
      <w:lvlText w:val="%1.%2.%3."/>
      <w:lvlJc w:val="left"/>
      <w:pPr>
        <w:tabs>
          <w:tab w:val="num" w:pos="936"/>
        </w:tabs>
        <w:ind w:left="936" w:hanging="936"/>
      </w:pPr>
      <w:rPr>
        <w:rFonts w:ascii="Arial" w:hAnsi="Arial" w:hint="default"/>
        <w:b w:val="0"/>
        <w:i w:val="0"/>
        <w:color w:val="auto"/>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561E0FA2"/>
    <w:multiLevelType w:val="multilevel"/>
    <w:tmpl w:val="58FC41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A7632BE"/>
    <w:multiLevelType w:val="hybridMultilevel"/>
    <w:tmpl w:val="B6E8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83063"/>
    <w:multiLevelType w:val="hybridMultilevel"/>
    <w:tmpl w:val="3AB6E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6A4D633E"/>
    <w:multiLevelType w:val="hybridMultilevel"/>
    <w:tmpl w:val="257E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D6D6E"/>
    <w:multiLevelType w:val="hybridMultilevel"/>
    <w:tmpl w:val="A230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668C9"/>
    <w:multiLevelType w:val="hybridMultilevel"/>
    <w:tmpl w:val="619E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2"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D9A5030"/>
    <w:multiLevelType w:val="hybridMultilevel"/>
    <w:tmpl w:val="EE968D5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num w:numId="1" w16cid:durableId="927541519">
    <w:abstractNumId w:val="0"/>
  </w:num>
  <w:num w:numId="2" w16cid:durableId="413017466">
    <w:abstractNumId w:val="16"/>
  </w:num>
  <w:num w:numId="3" w16cid:durableId="682705826">
    <w:abstractNumId w:val="5"/>
  </w:num>
  <w:num w:numId="4" w16cid:durableId="1907062582">
    <w:abstractNumId w:val="13"/>
  </w:num>
  <w:num w:numId="5" w16cid:durableId="27873098">
    <w:abstractNumId w:val="20"/>
  </w:num>
  <w:num w:numId="6" w16cid:durableId="580334776">
    <w:abstractNumId w:val="17"/>
  </w:num>
  <w:num w:numId="7" w16cid:durableId="37629365">
    <w:abstractNumId w:val="9"/>
  </w:num>
  <w:num w:numId="8" w16cid:durableId="679965078">
    <w:abstractNumId w:val="1"/>
  </w:num>
  <w:num w:numId="9" w16cid:durableId="560869386">
    <w:abstractNumId w:val="14"/>
  </w:num>
  <w:num w:numId="10" w16cid:durableId="1389767219">
    <w:abstractNumId w:val="25"/>
  </w:num>
  <w:num w:numId="11" w16cid:durableId="537083731">
    <w:abstractNumId w:val="16"/>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917206170">
    <w:abstractNumId w:val="16"/>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webHidden w:val="0"/>
          <w:color w:val="000000"/>
          <w:spacing w:val="0"/>
          <w:kern w:val="24"/>
          <w:position w:val="0"/>
          <w:sz w:val="28"/>
          <w:szCs w:val="28"/>
          <w:u w:val="none"/>
          <w:effect w:val="none"/>
          <w:vertAlign w:val="baseline"/>
          <w:em w:val="none"/>
          <w:specVanish w:val="0"/>
        </w:rPr>
      </w:lvl>
    </w:lvlOverride>
    <w:lvlOverride w:ilvl="1">
      <w:lvl w:ilvl="1">
        <w:start w:val="1"/>
        <w:numFmt w:val="decimal"/>
        <w:lvlText w:val="%1.%2."/>
        <w:lvlJc w:val="left"/>
        <w:pPr>
          <w:tabs>
            <w:tab w:val="num" w:pos="1162"/>
          </w:tabs>
          <w:ind w:left="1162" w:hanging="1162"/>
        </w:pPr>
        <w:rPr>
          <w:rFonts w:ascii="Arial" w:hAnsi="Arial" w:cs="Times New Roman" w:hint="default"/>
          <w:b w:val="0"/>
          <w:i w:val="0"/>
          <w:sz w:val="24"/>
        </w:rPr>
      </w:lvl>
    </w:lvlOverride>
    <w:lvlOverride w:ilvl="2">
      <w:lvl w:ilvl="2">
        <w:start w:val="1"/>
        <w:numFmt w:val="decimal"/>
        <w:lvlText w:val="%1.%2.%3."/>
        <w:lvlJc w:val="left"/>
        <w:pPr>
          <w:tabs>
            <w:tab w:val="num" w:pos="1162"/>
          </w:tabs>
          <w:ind w:left="1162" w:hanging="1162"/>
        </w:pPr>
        <w:rPr>
          <w:rFonts w:ascii="Arial" w:hAnsi="Arial" w:cs="Times New Roman" w:hint="default"/>
          <w:b w:val="0"/>
          <w:i w:val="0"/>
          <w:sz w:val="24"/>
        </w:rPr>
      </w:lvl>
    </w:lvlOverride>
    <w:lvlOverride w:ilvl="3">
      <w:lvl w:ilvl="3">
        <w:start w:val="1"/>
        <w:numFmt w:val="decimal"/>
        <w:lvlText w:val="%1.%2.%3.%4."/>
        <w:lvlJc w:val="left"/>
        <w:pPr>
          <w:tabs>
            <w:tab w:val="num" w:pos="1162"/>
          </w:tabs>
          <w:ind w:left="1162" w:hanging="1162"/>
        </w:pPr>
        <w:rPr>
          <w:rFonts w:ascii="Arial" w:hAnsi="Arial" w:cs="Times New Roman" w:hint="default"/>
          <w:b w:val="0"/>
          <w:i w:val="0"/>
          <w:sz w:val="24"/>
        </w:rPr>
      </w:lvl>
    </w:lvlOverride>
    <w:lvlOverride w:ilvl="4">
      <w:lvl w:ilvl="4">
        <w:start w:val="1"/>
        <w:numFmt w:val="decimal"/>
        <w:lvlText w:val="%1.%2.%3.%4.%5."/>
        <w:lvlJc w:val="left"/>
        <w:pPr>
          <w:tabs>
            <w:tab w:val="num" w:pos="1162"/>
          </w:tabs>
          <w:ind w:left="1162" w:hanging="1162"/>
        </w:pPr>
        <w:rPr>
          <w:rFonts w:ascii="Arial" w:hAnsi="Arial" w:cs="Times New Roman" w:hint="default"/>
          <w:b w:val="0"/>
          <w:i w:val="0"/>
          <w:sz w:val="24"/>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3" w16cid:durableId="1878472657">
    <w:abstractNumId w:val="1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16cid:durableId="1740790170">
    <w:abstractNumId w:val="8"/>
  </w:num>
  <w:num w:numId="15" w16cid:durableId="1778213417">
    <w:abstractNumId w:val="26"/>
  </w:num>
  <w:num w:numId="16" w16cid:durableId="559093115">
    <w:abstractNumId w:val="22"/>
  </w:num>
  <w:num w:numId="17" w16cid:durableId="1977754271">
    <w:abstractNumId w:val="2"/>
  </w:num>
  <w:num w:numId="18" w16cid:durableId="1951204361">
    <w:abstractNumId w:val="21"/>
  </w:num>
  <w:num w:numId="19" w16cid:durableId="1803424096">
    <w:abstractNumId w:val="3"/>
  </w:num>
  <w:num w:numId="20" w16cid:durableId="679359000">
    <w:abstractNumId w:val="23"/>
  </w:num>
  <w:num w:numId="21" w16cid:durableId="1645504173">
    <w:abstractNumId w:val="11"/>
  </w:num>
  <w:num w:numId="22" w16cid:durableId="1728650400">
    <w:abstractNumId w:val="19"/>
  </w:num>
  <w:num w:numId="23" w16cid:durableId="576019897">
    <w:abstractNumId w:val="15"/>
  </w:num>
  <w:num w:numId="24" w16cid:durableId="1568490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185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5050322">
    <w:abstractNumId w:val="18"/>
  </w:num>
  <w:num w:numId="27" w16cid:durableId="448203443">
    <w:abstractNumId w:val="4"/>
  </w:num>
  <w:num w:numId="28" w16cid:durableId="1242914189">
    <w:abstractNumId w:val="7"/>
  </w:num>
  <w:num w:numId="29" w16cid:durableId="390345044">
    <w:abstractNumId w:val="10"/>
  </w:num>
  <w:num w:numId="30" w16cid:durableId="2126458555">
    <w:abstractNumId w:val="24"/>
  </w:num>
  <w:num w:numId="31" w16cid:durableId="1616135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6442945">
    <w:abstractNumId w:val="12"/>
  </w:num>
  <w:num w:numId="33" w16cid:durableId="2124686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25"/>
    <w:rsid w:val="00000605"/>
    <w:rsid w:val="0000486F"/>
    <w:rsid w:val="00010E7D"/>
    <w:rsid w:val="00011A20"/>
    <w:rsid w:val="00012411"/>
    <w:rsid w:val="00014DA2"/>
    <w:rsid w:val="000163CE"/>
    <w:rsid w:val="00021F7E"/>
    <w:rsid w:val="0002328C"/>
    <w:rsid w:val="00030295"/>
    <w:rsid w:val="0003370F"/>
    <w:rsid w:val="00033CA2"/>
    <w:rsid w:val="00035A63"/>
    <w:rsid w:val="000369A6"/>
    <w:rsid w:val="00043725"/>
    <w:rsid w:val="000473D9"/>
    <w:rsid w:val="000557D2"/>
    <w:rsid w:val="00057C3E"/>
    <w:rsid w:val="00057E23"/>
    <w:rsid w:val="00061473"/>
    <w:rsid w:val="000622B5"/>
    <w:rsid w:val="00063CE7"/>
    <w:rsid w:val="00064E96"/>
    <w:rsid w:val="000660D4"/>
    <w:rsid w:val="0006747C"/>
    <w:rsid w:val="00067914"/>
    <w:rsid w:val="00070722"/>
    <w:rsid w:val="00071749"/>
    <w:rsid w:val="00072502"/>
    <w:rsid w:val="00074863"/>
    <w:rsid w:val="0007515B"/>
    <w:rsid w:val="00075330"/>
    <w:rsid w:val="00075438"/>
    <w:rsid w:val="0007608D"/>
    <w:rsid w:val="00080354"/>
    <w:rsid w:val="000820E8"/>
    <w:rsid w:val="000824F1"/>
    <w:rsid w:val="000846E7"/>
    <w:rsid w:val="00084D45"/>
    <w:rsid w:val="00086B99"/>
    <w:rsid w:val="00090193"/>
    <w:rsid w:val="000928C7"/>
    <w:rsid w:val="00093A22"/>
    <w:rsid w:val="00094294"/>
    <w:rsid w:val="000944E6"/>
    <w:rsid w:val="000A078A"/>
    <w:rsid w:val="000A177D"/>
    <w:rsid w:val="000A3074"/>
    <w:rsid w:val="000A45DB"/>
    <w:rsid w:val="000A54FF"/>
    <w:rsid w:val="000B1149"/>
    <w:rsid w:val="000B2950"/>
    <w:rsid w:val="000B3E4F"/>
    <w:rsid w:val="000B47E8"/>
    <w:rsid w:val="000B50FF"/>
    <w:rsid w:val="000B5390"/>
    <w:rsid w:val="000B568B"/>
    <w:rsid w:val="000B570B"/>
    <w:rsid w:val="000B6DEE"/>
    <w:rsid w:val="000C0575"/>
    <w:rsid w:val="000C2BF7"/>
    <w:rsid w:val="000C336D"/>
    <w:rsid w:val="000C46FB"/>
    <w:rsid w:val="000C5A46"/>
    <w:rsid w:val="000C5AF0"/>
    <w:rsid w:val="000C6202"/>
    <w:rsid w:val="000C7E8E"/>
    <w:rsid w:val="000D0E3F"/>
    <w:rsid w:val="000D4F47"/>
    <w:rsid w:val="000D52BB"/>
    <w:rsid w:val="000D5CE0"/>
    <w:rsid w:val="000D5E3D"/>
    <w:rsid w:val="000D6ECB"/>
    <w:rsid w:val="000E0240"/>
    <w:rsid w:val="000E26BA"/>
    <w:rsid w:val="000E2E20"/>
    <w:rsid w:val="000E4791"/>
    <w:rsid w:val="000E4FB8"/>
    <w:rsid w:val="000E53AA"/>
    <w:rsid w:val="000E59C2"/>
    <w:rsid w:val="000E6C13"/>
    <w:rsid w:val="000F167B"/>
    <w:rsid w:val="000F4067"/>
    <w:rsid w:val="000F585D"/>
    <w:rsid w:val="000F71A9"/>
    <w:rsid w:val="000F7545"/>
    <w:rsid w:val="00100CA2"/>
    <w:rsid w:val="00103CF5"/>
    <w:rsid w:val="00104F86"/>
    <w:rsid w:val="00105F86"/>
    <w:rsid w:val="0010709A"/>
    <w:rsid w:val="0011529A"/>
    <w:rsid w:val="001162B8"/>
    <w:rsid w:val="00120B7A"/>
    <w:rsid w:val="00123B10"/>
    <w:rsid w:val="00123CEC"/>
    <w:rsid w:val="00123ECE"/>
    <w:rsid w:val="001268D6"/>
    <w:rsid w:val="001272E1"/>
    <w:rsid w:val="001318E5"/>
    <w:rsid w:val="00133498"/>
    <w:rsid w:val="00136570"/>
    <w:rsid w:val="00136AA6"/>
    <w:rsid w:val="00140779"/>
    <w:rsid w:val="001415B1"/>
    <w:rsid w:val="00141A7A"/>
    <w:rsid w:val="00144AE7"/>
    <w:rsid w:val="0014723C"/>
    <w:rsid w:val="001533DD"/>
    <w:rsid w:val="00155033"/>
    <w:rsid w:val="00157194"/>
    <w:rsid w:val="00157292"/>
    <w:rsid w:val="00161B20"/>
    <w:rsid w:val="00162AD6"/>
    <w:rsid w:val="0016367F"/>
    <w:rsid w:val="00164855"/>
    <w:rsid w:val="00164C72"/>
    <w:rsid w:val="001657B5"/>
    <w:rsid w:val="001667B5"/>
    <w:rsid w:val="00167089"/>
    <w:rsid w:val="00167D42"/>
    <w:rsid w:val="00171AFC"/>
    <w:rsid w:val="001744DC"/>
    <w:rsid w:val="00174D89"/>
    <w:rsid w:val="00180046"/>
    <w:rsid w:val="001812DD"/>
    <w:rsid w:val="00182AB3"/>
    <w:rsid w:val="00184308"/>
    <w:rsid w:val="00184924"/>
    <w:rsid w:val="001856CC"/>
    <w:rsid w:val="0019500C"/>
    <w:rsid w:val="00196362"/>
    <w:rsid w:val="00197554"/>
    <w:rsid w:val="00197925"/>
    <w:rsid w:val="00197F93"/>
    <w:rsid w:val="001A0682"/>
    <w:rsid w:val="001A10B5"/>
    <w:rsid w:val="001A4645"/>
    <w:rsid w:val="001A677F"/>
    <w:rsid w:val="001B1478"/>
    <w:rsid w:val="001B1DE2"/>
    <w:rsid w:val="001B20BB"/>
    <w:rsid w:val="001B20F5"/>
    <w:rsid w:val="001B2115"/>
    <w:rsid w:val="001B3559"/>
    <w:rsid w:val="001B7CBD"/>
    <w:rsid w:val="001C1FEE"/>
    <w:rsid w:val="001C29DE"/>
    <w:rsid w:val="001C390D"/>
    <w:rsid w:val="001C39B0"/>
    <w:rsid w:val="001C560C"/>
    <w:rsid w:val="001C6F31"/>
    <w:rsid w:val="001D0E06"/>
    <w:rsid w:val="001D1919"/>
    <w:rsid w:val="001D2529"/>
    <w:rsid w:val="001D3876"/>
    <w:rsid w:val="001D5D67"/>
    <w:rsid w:val="001E008C"/>
    <w:rsid w:val="001E0378"/>
    <w:rsid w:val="001E2CC8"/>
    <w:rsid w:val="001E2FC0"/>
    <w:rsid w:val="001E557D"/>
    <w:rsid w:val="001E56B4"/>
    <w:rsid w:val="001E6AD6"/>
    <w:rsid w:val="001F1CE1"/>
    <w:rsid w:val="001F2022"/>
    <w:rsid w:val="001F48CC"/>
    <w:rsid w:val="001F4940"/>
    <w:rsid w:val="001F67D1"/>
    <w:rsid w:val="001F6EDF"/>
    <w:rsid w:val="001F7F0D"/>
    <w:rsid w:val="002005A0"/>
    <w:rsid w:val="00201257"/>
    <w:rsid w:val="002027FA"/>
    <w:rsid w:val="00204003"/>
    <w:rsid w:val="00204005"/>
    <w:rsid w:val="00205E8F"/>
    <w:rsid w:val="002069A3"/>
    <w:rsid w:val="00206D93"/>
    <w:rsid w:val="002111D3"/>
    <w:rsid w:val="00212C86"/>
    <w:rsid w:val="00214BAB"/>
    <w:rsid w:val="00217AA9"/>
    <w:rsid w:val="00217DA2"/>
    <w:rsid w:val="002209BF"/>
    <w:rsid w:val="00221028"/>
    <w:rsid w:val="00223EBC"/>
    <w:rsid w:val="00223F51"/>
    <w:rsid w:val="00224556"/>
    <w:rsid w:val="00225B5C"/>
    <w:rsid w:val="002277F8"/>
    <w:rsid w:val="00230B37"/>
    <w:rsid w:val="0023319B"/>
    <w:rsid w:val="00235614"/>
    <w:rsid w:val="00236606"/>
    <w:rsid w:val="00242E00"/>
    <w:rsid w:val="00243FAA"/>
    <w:rsid w:val="00246597"/>
    <w:rsid w:val="00247372"/>
    <w:rsid w:val="002504C0"/>
    <w:rsid w:val="002518AE"/>
    <w:rsid w:val="00252092"/>
    <w:rsid w:val="0025361B"/>
    <w:rsid w:val="00253A36"/>
    <w:rsid w:val="0025619A"/>
    <w:rsid w:val="002563E2"/>
    <w:rsid w:val="00264500"/>
    <w:rsid w:val="00265ADE"/>
    <w:rsid w:val="002715EB"/>
    <w:rsid w:val="002729E1"/>
    <w:rsid w:val="0027311C"/>
    <w:rsid w:val="00273680"/>
    <w:rsid w:val="0027478B"/>
    <w:rsid w:val="002748EF"/>
    <w:rsid w:val="002752C4"/>
    <w:rsid w:val="00277201"/>
    <w:rsid w:val="002776A5"/>
    <w:rsid w:val="00281589"/>
    <w:rsid w:val="00283498"/>
    <w:rsid w:val="002860E4"/>
    <w:rsid w:val="0028755C"/>
    <w:rsid w:val="00287DA8"/>
    <w:rsid w:val="002911BC"/>
    <w:rsid w:val="00291F5D"/>
    <w:rsid w:val="00292198"/>
    <w:rsid w:val="002925A9"/>
    <w:rsid w:val="00293873"/>
    <w:rsid w:val="00294E75"/>
    <w:rsid w:val="00295672"/>
    <w:rsid w:val="00296E71"/>
    <w:rsid w:val="002A0B13"/>
    <w:rsid w:val="002A254C"/>
    <w:rsid w:val="002A3E43"/>
    <w:rsid w:val="002A5169"/>
    <w:rsid w:val="002B16D3"/>
    <w:rsid w:val="002B5FAB"/>
    <w:rsid w:val="002B6F17"/>
    <w:rsid w:val="002B7C6C"/>
    <w:rsid w:val="002C1ECB"/>
    <w:rsid w:val="002C233E"/>
    <w:rsid w:val="002C3E6A"/>
    <w:rsid w:val="002C5BA4"/>
    <w:rsid w:val="002C6DF3"/>
    <w:rsid w:val="002C7DCC"/>
    <w:rsid w:val="002D24C9"/>
    <w:rsid w:val="002D3FBA"/>
    <w:rsid w:val="002D6CAA"/>
    <w:rsid w:val="002E1998"/>
    <w:rsid w:val="002E2B12"/>
    <w:rsid w:val="002E3982"/>
    <w:rsid w:val="002E5EFA"/>
    <w:rsid w:val="002F0D47"/>
    <w:rsid w:val="002F1BDC"/>
    <w:rsid w:val="002F2962"/>
    <w:rsid w:val="002F4437"/>
    <w:rsid w:val="003006ED"/>
    <w:rsid w:val="00302E70"/>
    <w:rsid w:val="0030543B"/>
    <w:rsid w:val="00306C33"/>
    <w:rsid w:val="00306CAA"/>
    <w:rsid w:val="00311663"/>
    <w:rsid w:val="00312807"/>
    <w:rsid w:val="00312B0C"/>
    <w:rsid w:val="0031548D"/>
    <w:rsid w:val="00315DF3"/>
    <w:rsid w:val="003172FD"/>
    <w:rsid w:val="003179EF"/>
    <w:rsid w:val="003224F0"/>
    <w:rsid w:val="003257F3"/>
    <w:rsid w:val="00327556"/>
    <w:rsid w:val="00327EEB"/>
    <w:rsid w:val="003301D3"/>
    <w:rsid w:val="00332632"/>
    <w:rsid w:val="00334B29"/>
    <w:rsid w:val="003355F0"/>
    <w:rsid w:val="0033655F"/>
    <w:rsid w:val="00336A1A"/>
    <w:rsid w:val="00336A91"/>
    <w:rsid w:val="0033796A"/>
    <w:rsid w:val="00337996"/>
    <w:rsid w:val="00337C03"/>
    <w:rsid w:val="003407EB"/>
    <w:rsid w:val="00340BE4"/>
    <w:rsid w:val="00343828"/>
    <w:rsid w:val="0034387D"/>
    <w:rsid w:val="0034457B"/>
    <w:rsid w:val="00344CCC"/>
    <w:rsid w:val="00344D06"/>
    <w:rsid w:val="00350DCE"/>
    <w:rsid w:val="00354547"/>
    <w:rsid w:val="003561FC"/>
    <w:rsid w:val="003569F6"/>
    <w:rsid w:val="003603E8"/>
    <w:rsid w:val="00362445"/>
    <w:rsid w:val="00363497"/>
    <w:rsid w:val="00367A82"/>
    <w:rsid w:val="00367B64"/>
    <w:rsid w:val="00370B93"/>
    <w:rsid w:val="00371A6A"/>
    <w:rsid w:val="00371B37"/>
    <w:rsid w:val="00374BBF"/>
    <w:rsid w:val="00375DA0"/>
    <w:rsid w:val="00376140"/>
    <w:rsid w:val="00376726"/>
    <w:rsid w:val="00376DD3"/>
    <w:rsid w:val="00377167"/>
    <w:rsid w:val="00383BF5"/>
    <w:rsid w:val="00385371"/>
    <w:rsid w:val="003856B6"/>
    <w:rsid w:val="00385E4C"/>
    <w:rsid w:val="00386594"/>
    <w:rsid w:val="00390F97"/>
    <w:rsid w:val="00391D6B"/>
    <w:rsid w:val="00393623"/>
    <w:rsid w:val="00394AF5"/>
    <w:rsid w:val="00396463"/>
    <w:rsid w:val="00397DE1"/>
    <w:rsid w:val="00397F9E"/>
    <w:rsid w:val="003A011A"/>
    <w:rsid w:val="003A3FF9"/>
    <w:rsid w:val="003A701F"/>
    <w:rsid w:val="003A7433"/>
    <w:rsid w:val="003A7A47"/>
    <w:rsid w:val="003B032D"/>
    <w:rsid w:val="003B0C9A"/>
    <w:rsid w:val="003B1A47"/>
    <w:rsid w:val="003B1DBF"/>
    <w:rsid w:val="003B1FDC"/>
    <w:rsid w:val="003B20EE"/>
    <w:rsid w:val="003B4272"/>
    <w:rsid w:val="003B4534"/>
    <w:rsid w:val="003B4BBC"/>
    <w:rsid w:val="003C0552"/>
    <w:rsid w:val="003C2C3C"/>
    <w:rsid w:val="003C2FD4"/>
    <w:rsid w:val="003C4D69"/>
    <w:rsid w:val="003C6284"/>
    <w:rsid w:val="003C66E9"/>
    <w:rsid w:val="003D48AE"/>
    <w:rsid w:val="003D5F5E"/>
    <w:rsid w:val="003D5F6B"/>
    <w:rsid w:val="003D68DC"/>
    <w:rsid w:val="003E24F2"/>
    <w:rsid w:val="003E3863"/>
    <w:rsid w:val="003E41F9"/>
    <w:rsid w:val="003E4631"/>
    <w:rsid w:val="003E7F01"/>
    <w:rsid w:val="003F055A"/>
    <w:rsid w:val="003F0708"/>
    <w:rsid w:val="003F124B"/>
    <w:rsid w:val="003F1B6A"/>
    <w:rsid w:val="003F393B"/>
    <w:rsid w:val="003F505F"/>
    <w:rsid w:val="00400E2A"/>
    <w:rsid w:val="0040166A"/>
    <w:rsid w:val="004024C7"/>
    <w:rsid w:val="00403616"/>
    <w:rsid w:val="00403B2A"/>
    <w:rsid w:val="00406427"/>
    <w:rsid w:val="0041074A"/>
    <w:rsid w:val="004129CA"/>
    <w:rsid w:val="00415513"/>
    <w:rsid w:val="00416275"/>
    <w:rsid w:val="00416DD4"/>
    <w:rsid w:val="004173B3"/>
    <w:rsid w:val="004202BC"/>
    <w:rsid w:val="0042079D"/>
    <w:rsid w:val="0042112D"/>
    <w:rsid w:val="004269E9"/>
    <w:rsid w:val="00426EC9"/>
    <w:rsid w:val="004313FA"/>
    <w:rsid w:val="004354DB"/>
    <w:rsid w:val="004428FF"/>
    <w:rsid w:val="0044323F"/>
    <w:rsid w:val="00447883"/>
    <w:rsid w:val="004507DC"/>
    <w:rsid w:val="004517F8"/>
    <w:rsid w:val="00453974"/>
    <w:rsid w:val="0045465C"/>
    <w:rsid w:val="00464829"/>
    <w:rsid w:val="00464F39"/>
    <w:rsid w:val="00465323"/>
    <w:rsid w:val="00465662"/>
    <w:rsid w:val="00466596"/>
    <w:rsid w:val="00466AC1"/>
    <w:rsid w:val="00467E9D"/>
    <w:rsid w:val="00470E49"/>
    <w:rsid w:val="004716F0"/>
    <w:rsid w:val="0047217A"/>
    <w:rsid w:val="00475E26"/>
    <w:rsid w:val="00476E60"/>
    <w:rsid w:val="00477223"/>
    <w:rsid w:val="00477E77"/>
    <w:rsid w:val="00480792"/>
    <w:rsid w:val="004849A8"/>
    <w:rsid w:val="00484DD0"/>
    <w:rsid w:val="00487492"/>
    <w:rsid w:val="0048789D"/>
    <w:rsid w:val="00490603"/>
    <w:rsid w:val="004920B9"/>
    <w:rsid w:val="00492191"/>
    <w:rsid w:val="00492B71"/>
    <w:rsid w:val="00492F03"/>
    <w:rsid w:val="00496383"/>
    <w:rsid w:val="004A048B"/>
    <w:rsid w:val="004A1CF7"/>
    <w:rsid w:val="004A2266"/>
    <w:rsid w:val="004A2EB3"/>
    <w:rsid w:val="004A33F6"/>
    <w:rsid w:val="004A3846"/>
    <w:rsid w:val="004A5EDB"/>
    <w:rsid w:val="004A78E0"/>
    <w:rsid w:val="004B332C"/>
    <w:rsid w:val="004B6680"/>
    <w:rsid w:val="004B678B"/>
    <w:rsid w:val="004B702D"/>
    <w:rsid w:val="004C27F9"/>
    <w:rsid w:val="004C2EE1"/>
    <w:rsid w:val="004C3370"/>
    <w:rsid w:val="004C6EF2"/>
    <w:rsid w:val="004D033D"/>
    <w:rsid w:val="004D3431"/>
    <w:rsid w:val="004D6A13"/>
    <w:rsid w:val="004E15A9"/>
    <w:rsid w:val="004E15CC"/>
    <w:rsid w:val="004E2713"/>
    <w:rsid w:val="004F47AE"/>
    <w:rsid w:val="004F4DE0"/>
    <w:rsid w:val="004F7135"/>
    <w:rsid w:val="004F7F43"/>
    <w:rsid w:val="005020F3"/>
    <w:rsid w:val="0050469B"/>
    <w:rsid w:val="00504B85"/>
    <w:rsid w:val="0050716E"/>
    <w:rsid w:val="0051229D"/>
    <w:rsid w:val="00514845"/>
    <w:rsid w:val="005148B4"/>
    <w:rsid w:val="005165D6"/>
    <w:rsid w:val="00520097"/>
    <w:rsid w:val="00524721"/>
    <w:rsid w:val="00524DA9"/>
    <w:rsid w:val="00530ACB"/>
    <w:rsid w:val="00533B15"/>
    <w:rsid w:val="00534578"/>
    <w:rsid w:val="005346CD"/>
    <w:rsid w:val="00534FF9"/>
    <w:rsid w:val="00535D8F"/>
    <w:rsid w:val="00536467"/>
    <w:rsid w:val="00541703"/>
    <w:rsid w:val="00543AA5"/>
    <w:rsid w:val="00544BA2"/>
    <w:rsid w:val="005452AD"/>
    <w:rsid w:val="00547E9E"/>
    <w:rsid w:val="00547F6D"/>
    <w:rsid w:val="00551178"/>
    <w:rsid w:val="00551B49"/>
    <w:rsid w:val="0055586C"/>
    <w:rsid w:val="00557233"/>
    <w:rsid w:val="0055773D"/>
    <w:rsid w:val="00561BEF"/>
    <w:rsid w:val="00563ECF"/>
    <w:rsid w:val="005645DA"/>
    <w:rsid w:val="00565EB2"/>
    <w:rsid w:val="00566BC0"/>
    <w:rsid w:val="00567BBB"/>
    <w:rsid w:val="00571B10"/>
    <w:rsid w:val="005729EA"/>
    <w:rsid w:val="0057397A"/>
    <w:rsid w:val="00574899"/>
    <w:rsid w:val="00574B24"/>
    <w:rsid w:val="005754E1"/>
    <w:rsid w:val="005759B9"/>
    <w:rsid w:val="00575B1C"/>
    <w:rsid w:val="005813DD"/>
    <w:rsid w:val="005817E1"/>
    <w:rsid w:val="00581D89"/>
    <w:rsid w:val="00582C65"/>
    <w:rsid w:val="00583DDB"/>
    <w:rsid w:val="005842C5"/>
    <w:rsid w:val="00586816"/>
    <w:rsid w:val="00591CC1"/>
    <w:rsid w:val="00594826"/>
    <w:rsid w:val="00595EFF"/>
    <w:rsid w:val="00596173"/>
    <w:rsid w:val="0059619B"/>
    <w:rsid w:val="005A054A"/>
    <w:rsid w:val="005A4AA4"/>
    <w:rsid w:val="005A7F37"/>
    <w:rsid w:val="005B1175"/>
    <w:rsid w:val="005B2532"/>
    <w:rsid w:val="005B2A4A"/>
    <w:rsid w:val="005B7919"/>
    <w:rsid w:val="005B7FCA"/>
    <w:rsid w:val="005C07B1"/>
    <w:rsid w:val="005C2484"/>
    <w:rsid w:val="005C344B"/>
    <w:rsid w:val="005C49B2"/>
    <w:rsid w:val="005D267B"/>
    <w:rsid w:val="005D6036"/>
    <w:rsid w:val="005D7921"/>
    <w:rsid w:val="005E310A"/>
    <w:rsid w:val="005E58EE"/>
    <w:rsid w:val="005E6579"/>
    <w:rsid w:val="005F01F3"/>
    <w:rsid w:val="005F063D"/>
    <w:rsid w:val="005F17E0"/>
    <w:rsid w:val="005F1A66"/>
    <w:rsid w:val="005F4770"/>
    <w:rsid w:val="005F63F3"/>
    <w:rsid w:val="005F6604"/>
    <w:rsid w:val="005F77E5"/>
    <w:rsid w:val="00600C29"/>
    <w:rsid w:val="0060220C"/>
    <w:rsid w:val="00602CDD"/>
    <w:rsid w:val="006044C1"/>
    <w:rsid w:val="00604547"/>
    <w:rsid w:val="00605C24"/>
    <w:rsid w:val="006069F1"/>
    <w:rsid w:val="006100B3"/>
    <w:rsid w:val="00615455"/>
    <w:rsid w:val="0061729A"/>
    <w:rsid w:val="006213E5"/>
    <w:rsid w:val="006220C8"/>
    <w:rsid w:val="00625C5A"/>
    <w:rsid w:val="00626F03"/>
    <w:rsid w:val="00633280"/>
    <w:rsid w:val="00634500"/>
    <w:rsid w:val="00635E49"/>
    <w:rsid w:val="006403E1"/>
    <w:rsid w:val="006411E9"/>
    <w:rsid w:val="00642417"/>
    <w:rsid w:val="006457A7"/>
    <w:rsid w:val="0064797C"/>
    <w:rsid w:val="0065039A"/>
    <w:rsid w:val="00652AA7"/>
    <w:rsid w:val="00654982"/>
    <w:rsid w:val="00654EE7"/>
    <w:rsid w:val="00655C25"/>
    <w:rsid w:val="006606BE"/>
    <w:rsid w:val="00661303"/>
    <w:rsid w:val="00663F5D"/>
    <w:rsid w:val="00664104"/>
    <w:rsid w:val="006654CA"/>
    <w:rsid w:val="00665A8E"/>
    <w:rsid w:val="00670DB2"/>
    <w:rsid w:val="006714CD"/>
    <w:rsid w:val="00673A2C"/>
    <w:rsid w:val="00674D59"/>
    <w:rsid w:val="0067574A"/>
    <w:rsid w:val="006811AD"/>
    <w:rsid w:val="00682825"/>
    <w:rsid w:val="00682F71"/>
    <w:rsid w:val="00683F42"/>
    <w:rsid w:val="00684C4C"/>
    <w:rsid w:val="00690711"/>
    <w:rsid w:val="0069166A"/>
    <w:rsid w:val="006925D7"/>
    <w:rsid w:val="006950C9"/>
    <w:rsid w:val="006955F2"/>
    <w:rsid w:val="00695AFB"/>
    <w:rsid w:val="006968BC"/>
    <w:rsid w:val="006A0A3F"/>
    <w:rsid w:val="006A2F07"/>
    <w:rsid w:val="006A30DF"/>
    <w:rsid w:val="006A5988"/>
    <w:rsid w:val="006A744D"/>
    <w:rsid w:val="006B20AC"/>
    <w:rsid w:val="006B2901"/>
    <w:rsid w:val="006B2AD0"/>
    <w:rsid w:val="006B3020"/>
    <w:rsid w:val="006B3651"/>
    <w:rsid w:val="006B45B1"/>
    <w:rsid w:val="006B4C67"/>
    <w:rsid w:val="006B69BD"/>
    <w:rsid w:val="006B7725"/>
    <w:rsid w:val="006C09D3"/>
    <w:rsid w:val="006C1B4B"/>
    <w:rsid w:val="006C25E8"/>
    <w:rsid w:val="006C419D"/>
    <w:rsid w:val="006C49B5"/>
    <w:rsid w:val="006C4F6E"/>
    <w:rsid w:val="006C656A"/>
    <w:rsid w:val="006C7B74"/>
    <w:rsid w:val="006D149D"/>
    <w:rsid w:val="006D2DB0"/>
    <w:rsid w:val="006D3BDD"/>
    <w:rsid w:val="006D4F6F"/>
    <w:rsid w:val="006D5E2D"/>
    <w:rsid w:val="006D7DA6"/>
    <w:rsid w:val="006E24D4"/>
    <w:rsid w:val="006E389B"/>
    <w:rsid w:val="006E5D5B"/>
    <w:rsid w:val="006E6096"/>
    <w:rsid w:val="006F1689"/>
    <w:rsid w:val="006F1EF6"/>
    <w:rsid w:val="006F36D3"/>
    <w:rsid w:val="006F46CB"/>
    <w:rsid w:val="006F5C38"/>
    <w:rsid w:val="00701414"/>
    <w:rsid w:val="007015E1"/>
    <w:rsid w:val="00701A99"/>
    <w:rsid w:val="00702FAF"/>
    <w:rsid w:val="00703B06"/>
    <w:rsid w:val="00705F8D"/>
    <w:rsid w:val="00706E4E"/>
    <w:rsid w:val="00712F8F"/>
    <w:rsid w:val="0071324E"/>
    <w:rsid w:val="00714A3D"/>
    <w:rsid w:val="00715940"/>
    <w:rsid w:val="00717CBE"/>
    <w:rsid w:val="00724E50"/>
    <w:rsid w:val="00725C6C"/>
    <w:rsid w:val="0072632C"/>
    <w:rsid w:val="007267D4"/>
    <w:rsid w:val="00727059"/>
    <w:rsid w:val="00727C2A"/>
    <w:rsid w:val="0073048D"/>
    <w:rsid w:val="00730851"/>
    <w:rsid w:val="00730DBC"/>
    <w:rsid w:val="0073104C"/>
    <w:rsid w:val="00732B76"/>
    <w:rsid w:val="00740F3E"/>
    <w:rsid w:val="007419EE"/>
    <w:rsid w:val="00741BD4"/>
    <w:rsid w:val="00742E13"/>
    <w:rsid w:val="0074603C"/>
    <w:rsid w:val="00746130"/>
    <w:rsid w:val="007475BE"/>
    <w:rsid w:val="0075291C"/>
    <w:rsid w:val="00752DA0"/>
    <w:rsid w:val="00752F94"/>
    <w:rsid w:val="00755230"/>
    <w:rsid w:val="00756B4C"/>
    <w:rsid w:val="00757E47"/>
    <w:rsid w:val="00762BAA"/>
    <w:rsid w:val="00762D7E"/>
    <w:rsid w:val="0076341C"/>
    <w:rsid w:val="00763C93"/>
    <w:rsid w:val="00763CAE"/>
    <w:rsid w:val="00764F08"/>
    <w:rsid w:val="0076526F"/>
    <w:rsid w:val="00773EA9"/>
    <w:rsid w:val="0077437B"/>
    <w:rsid w:val="00774CEC"/>
    <w:rsid w:val="00782923"/>
    <w:rsid w:val="00782EDC"/>
    <w:rsid w:val="0078496C"/>
    <w:rsid w:val="0078512B"/>
    <w:rsid w:val="00785700"/>
    <w:rsid w:val="007877CC"/>
    <w:rsid w:val="0079202B"/>
    <w:rsid w:val="007921BF"/>
    <w:rsid w:val="0079288C"/>
    <w:rsid w:val="00797460"/>
    <w:rsid w:val="007A157F"/>
    <w:rsid w:val="007A3600"/>
    <w:rsid w:val="007A7767"/>
    <w:rsid w:val="007A7AAB"/>
    <w:rsid w:val="007B0FEB"/>
    <w:rsid w:val="007B3AD2"/>
    <w:rsid w:val="007B415B"/>
    <w:rsid w:val="007B5A56"/>
    <w:rsid w:val="007B5F8C"/>
    <w:rsid w:val="007C092F"/>
    <w:rsid w:val="007C3B8A"/>
    <w:rsid w:val="007C3CF4"/>
    <w:rsid w:val="007D14AA"/>
    <w:rsid w:val="007D67D9"/>
    <w:rsid w:val="007D7964"/>
    <w:rsid w:val="007E0190"/>
    <w:rsid w:val="007E0567"/>
    <w:rsid w:val="007E0798"/>
    <w:rsid w:val="007E1221"/>
    <w:rsid w:val="007E1461"/>
    <w:rsid w:val="007E1983"/>
    <w:rsid w:val="007E31E3"/>
    <w:rsid w:val="007E3B1D"/>
    <w:rsid w:val="007E5409"/>
    <w:rsid w:val="007E5E46"/>
    <w:rsid w:val="007E69DE"/>
    <w:rsid w:val="007E7D95"/>
    <w:rsid w:val="007F30C2"/>
    <w:rsid w:val="007F5358"/>
    <w:rsid w:val="007F6F9D"/>
    <w:rsid w:val="007F7826"/>
    <w:rsid w:val="007F7BD2"/>
    <w:rsid w:val="00800338"/>
    <w:rsid w:val="008050CA"/>
    <w:rsid w:val="00805519"/>
    <w:rsid w:val="00806A61"/>
    <w:rsid w:val="0081036B"/>
    <w:rsid w:val="00811175"/>
    <w:rsid w:val="008126F7"/>
    <w:rsid w:val="00812DEA"/>
    <w:rsid w:val="00812E0E"/>
    <w:rsid w:val="0081305C"/>
    <w:rsid w:val="008141F2"/>
    <w:rsid w:val="00814EA0"/>
    <w:rsid w:val="00817FB7"/>
    <w:rsid w:val="00822856"/>
    <w:rsid w:val="00824037"/>
    <w:rsid w:val="0082420C"/>
    <w:rsid w:val="0082469E"/>
    <w:rsid w:val="008251E2"/>
    <w:rsid w:val="0082683C"/>
    <w:rsid w:val="008274D6"/>
    <w:rsid w:val="00827A3D"/>
    <w:rsid w:val="00831142"/>
    <w:rsid w:val="00831BD8"/>
    <w:rsid w:val="00834106"/>
    <w:rsid w:val="008341D6"/>
    <w:rsid w:val="00834D73"/>
    <w:rsid w:val="0083508D"/>
    <w:rsid w:val="0084033D"/>
    <w:rsid w:val="00841597"/>
    <w:rsid w:val="00842295"/>
    <w:rsid w:val="008422C0"/>
    <w:rsid w:val="008427E2"/>
    <w:rsid w:val="00842E04"/>
    <w:rsid w:val="008463C9"/>
    <w:rsid w:val="00846555"/>
    <w:rsid w:val="00846727"/>
    <w:rsid w:val="00846D47"/>
    <w:rsid w:val="00847EC4"/>
    <w:rsid w:val="008502D4"/>
    <w:rsid w:val="00850FD2"/>
    <w:rsid w:val="0085178E"/>
    <w:rsid w:val="00851946"/>
    <w:rsid w:val="00851FDB"/>
    <w:rsid w:val="008538F8"/>
    <w:rsid w:val="0085455A"/>
    <w:rsid w:val="008556F8"/>
    <w:rsid w:val="00856CF9"/>
    <w:rsid w:val="00860753"/>
    <w:rsid w:val="00860B78"/>
    <w:rsid w:val="00862D5B"/>
    <w:rsid w:val="00862EA7"/>
    <w:rsid w:val="00864EC2"/>
    <w:rsid w:val="0086674E"/>
    <w:rsid w:val="0086799C"/>
    <w:rsid w:val="00870DB3"/>
    <w:rsid w:val="0087247B"/>
    <w:rsid w:val="008736FB"/>
    <w:rsid w:val="00875ADA"/>
    <w:rsid w:val="00876954"/>
    <w:rsid w:val="008772B0"/>
    <w:rsid w:val="00877E75"/>
    <w:rsid w:val="008803E8"/>
    <w:rsid w:val="00882E30"/>
    <w:rsid w:val="00882EF7"/>
    <w:rsid w:val="00883282"/>
    <w:rsid w:val="00883AC6"/>
    <w:rsid w:val="00883C76"/>
    <w:rsid w:val="00884D88"/>
    <w:rsid w:val="00886CB9"/>
    <w:rsid w:val="008872AE"/>
    <w:rsid w:val="008910F9"/>
    <w:rsid w:val="00891F32"/>
    <w:rsid w:val="00892D5E"/>
    <w:rsid w:val="00896F7A"/>
    <w:rsid w:val="00897578"/>
    <w:rsid w:val="008A088C"/>
    <w:rsid w:val="008A2CB0"/>
    <w:rsid w:val="008B0508"/>
    <w:rsid w:val="008B12BA"/>
    <w:rsid w:val="008B3E52"/>
    <w:rsid w:val="008B506F"/>
    <w:rsid w:val="008B64D4"/>
    <w:rsid w:val="008B6F22"/>
    <w:rsid w:val="008C009B"/>
    <w:rsid w:val="008C0DD5"/>
    <w:rsid w:val="008C2A9B"/>
    <w:rsid w:val="008C3FDE"/>
    <w:rsid w:val="008C480E"/>
    <w:rsid w:val="008D54E5"/>
    <w:rsid w:val="008D5552"/>
    <w:rsid w:val="008D61DC"/>
    <w:rsid w:val="008E0FE8"/>
    <w:rsid w:val="008E1612"/>
    <w:rsid w:val="008E1B7B"/>
    <w:rsid w:val="008E3F74"/>
    <w:rsid w:val="008E4151"/>
    <w:rsid w:val="008E706B"/>
    <w:rsid w:val="008E7CDE"/>
    <w:rsid w:val="008F0778"/>
    <w:rsid w:val="008F1134"/>
    <w:rsid w:val="008F1982"/>
    <w:rsid w:val="008F1EE7"/>
    <w:rsid w:val="008F26B7"/>
    <w:rsid w:val="008F3690"/>
    <w:rsid w:val="008F66FE"/>
    <w:rsid w:val="008F72C2"/>
    <w:rsid w:val="008F7F3F"/>
    <w:rsid w:val="009002E0"/>
    <w:rsid w:val="00900836"/>
    <w:rsid w:val="00905BE0"/>
    <w:rsid w:val="00906056"/>
    <w:rsid w:val="00906103"/>
    <w:rsid w:val="0090731E"/>
    <w:rsid w:val="00907AC2"/>
    <w:rsid w:val="0091174B"/>
    <w:rsid w:val="00912A6B"/>
    <w:rsid w:val="00912F1E"/>
    <w:rsid w:val="00913149"/>
    <w:rsid w:val="00913AFA"/>
    <w:rsid w:val="009140FD"/>
    <w:rsid w:val="009144ED"/>
    <w:rsid w:val="0091482F"/>
    <w:rsid w:val="0091550F"/>
    <w:rsid w:val="00915FAB"/>
    <w:rsid w:val="009176BF"/>
    <w:rsid w:val="00921538"/>
    <w:rsid w:val="0092281A"/>
    <w:rsid w:val="00922CCF"/>
    <w:rsid w:val="00924D64"/>
    <w:rsid w:val="00926A4F"/>
    <w:rsid w:val="0092748C"/>
    <w:rsid w:val="00931157"/>
    <w:rsid w:val="00931531"/>
    <w:rsid w:val="0093697D"/>
    <w:rsid w:val="00940740"/>
    <w:rsid w:val="0094093C"/>
    <w:rsid w:val="0094119F"/>
    <w:rsid w:val="00941F81"/>
    <w:rsid w:val="0094437E"/>
    <w:rsid w:val="00944572"/>
    <w:rsid w:val="00947504"/>
    <w:rsid w:val="009477A3"/>
    <w:rsid w:val="00950009"/>
    <w:rsid w:val="00951273"/>
    <w:rsid w:val="00951A7E"/>
    <w:rsid w:val="00955382"/>
    <w:rsid w:val="009555B5"/>
    <w:rsid w:val="00961675"/>
    <w:rsid w:val="00962CE3"/>
    <w:rsid w:val="00964471"/>
    <w:rsid w:val="00964A2E"/>
    <w:rsid w:val="00966069"/>
    <w:rsid w:val="009662E1"/>
    <w:rsid w:val="009675AA"/>
    <w:rsid w:val="00970433"/>
    <w:rsid w:val="00971511"/>
    <w:rsid w:val="00976CDF"/>
    <w:rsid w:val="00977051"/>
    <w:rsid w:val="00977AE3"/>
    <w:rsid w:val="0098262D"/>
    <w:rsid w:val="0098267B"/>
    <w:rsid w:val="00983E44"/>
    <w:rsid w:val="00985034"/>
    <w:rsid w:val="00985F87"/>
    <w:rsid w:val="00986920"/>
    <w:rsid w:val="00986B24"/>
    <w:rsid w:val="0099017E"/>
    <w:rsid w:val="00990305"/>
    <w:rsid w:val="00990427"/>
    <w:rsid w:val="009904CB"/>
    <w:rsid w:val="00990958"/>
    <w:rsid w:val="0099326D"/>
    <w:rsid w:val="009944A0"/>
    <w:rsid w:val="00996470"/>
    <w:rsid w:val="009A0788"/>
    <w:rsid w:val="009A3B81"/>
    <w:rsid w:val="009A5113"/>
    <w:rsid w:val="009A6C71"/>
    <w:rsid w:val="009A7FCB"/>
    <w:rsid w:val="009B0042"/>
    <w:rsid w:val="009B2813"/>
    <w:rsid w:val="009B289C"/>
    <w:rsid w:val="009B7283"/>
    <w:rsid w:val="009B7359"/>
    <w:rsid w:val="009C01EF"/>
    <w:rsid w:val="009C0344"/>
    <w:rsid w:val="009C2DAD"/>
    <w:rsid w:val="009C55E0"/>
    <w:rsid w:val="009C6968"/>
    <w:rsid w:val="009D1046"/>
    <w:rsid w:val="009D12AC"/>
    <w:rsid w:val="009D14FD"/>
    <w:rsid w:val="009D1ADD"/>
    <w:rsid w:val="009D5554"/>
    <w:rsid w:val="009E0187"/>
    <w:rsid w:val="009E12F0"/>
    <w:rsid w:val="009E36E3"/>
    <w:rsid w:val="009E3A0D"/>
    <w:rsid w:val="009E3D4D"/>
    <w:rsid w:val="009E4858"/>
    <w:rsid w:val="009E5131"/>
    <w:rsid w:val="009E5320"/>
    <w:rsid w:val="009E6149"/>
    <w:rsid w:val="009F2B91"/>
    <w:rsid w:val="009F40FC"/>
    <w:rsid w:val="009F4CA7"/>
    <w:rsid w:val="009F527D"/>
    <w:rsid w:val="009F5525"/>
    <w:rsid w:val="009F5A66"/>
    <w:rsid w:val="00A053C3"/>
    <w:rsid w:val="00A05ADF"/>
    <w:rsid w:val="00A05AE7"/>
    <w:rsid w:val="00A079CA"/>
    <w:rsid w:val="00A07B6E"/>
    <w:rsid w:val="00A1057D"/>
    <w:rsid w:val="00A10975"/>
    <w:rsid w:val="00A1444D"/>
    <w:rsid w:val="00A1745A"/>
    <w:rsid w:val="00A21A22"/>
    <w:rsid w:val="00A24E4B"/>
    <w:rsid w:val="00A263E0"/>
    <w:rsid w:val="00A26B96"/>
    <w:rsid w:val="00A2704F"/>
    <w:rsid w:val="00A27C8E"/>
    <w:rsid w:val="00A316A6"/>
    <w:rsid w:val="00A317F8"/>
    <w:rsid w:val="00A32246"/>
    <w:rsid w:val="00A34830"/>
    <w:rsid w:val="00A36A25"/>
    <w:rsid w:val="00A416B6"/>
    <w:rsid w:val="00A425E6"/>
    <w:rsid w:val="00A43419"/>
    <w:rsid w:val="00A43676"/>
    <w:rsid w:val="00A44DE8"/>
    <w:rsid w:val="00A454DA"/>
    <w:rsid w:val="00A474EA"/>
    <w:rsid w:val="00A555BC"/>
    <w:rsid w:val="00A56386"/>
    <w:rsid w:val="00A573EC"/>
    <w:rsid w:val="00A57970"/>
    <w:rsid w:val="00A62497"/>
    <w:rsid w:val="00A630A3"/>
    <w:rsid w:val="00A6401E"/>
    <w:rsid w:val="00A641AF"/>
    <w:rsid w:val="00A71E20"/>
    <w:rsid w:val="00A71F42"/>
    <w:rsid w:val="00A72A1B"/>
    <w:rsid w:val="00A72A70"/>
    <w:rsid w:val="00A73D0F"/>
    <w:rsid w:val="00A75C45"/>
    <w:rsid w:val="00A76F56"/>
    <w:rsid w:val="00A801C6"/>
    <w:rsid w:val="00A8169A"/>
    <w:rsid w:val="00A8224A"/>
    <w:rsid w:val="00A82359"/>
    <w:rsid w:val="00A82E9C"/>
    <w:rsid w:val="00A842D8"/>
    <w:rsid w:val="00A84F41"/>
    <w:rsid w:val="00A855B2"/>
    <w:rsid w:val="00A87011"/>
    <w:rsid w:val="00A8783D"/>
    <w:rsid w:val="00A87F06"/>
    <w:rsid w:val="00A904C6"/>
    <w:rsid w:val="00A906AC"/>
    <w:rsid w:val="00A90E57"/>
    <w:rsid w:val="00A91081"/>
    <w:rsid w:val="00A935FE"/>
    <w:rsid w:val="00A95A91"/>
    <w:rsid w:val="00AA218F"/>
    <w:rsid w:val="00AA4F1D"/>
    <w:rsid w:val="00AA5549"/>
    <w:rsid w:val="00AA7DB0"/>
    <w:rsid w:val="00AB4C7F"/>
    <w:rsid w:val="00AB64AE"/>
    <w:rsid w:val="00AB6548"/>
    <w:rsid w:val="00AB727B"/>
    <w:rsid w:val="00AB7877"/>
    <w:rsid w:val="00AB7AC6"/>
    <w:rsid w:val="00AC17B6"/>
    <w:rsid w:val="00AC1D6F"/>
    <w:rsid w:val="00AC3157"/>
    <w:rsid w:val="00AC6FF4"/>
    <w:rsid w:val="00AD2119"/>
    <w:rsid w:val="00AD4BA8"/>
    <w:rsid w:val="00AD5E41"/>
    <w:rsid w:val="00AD7675"/>
    <w:rsid w:val="00AE0339"/>
    <w:rsid w:val="00AE0D9B"/>
    <w:rsid w:val="00AE1183"/>
    <w:rsid w:val="00AE1862"/>
    <w:rsid w:val="00AE1DBE"/>
    <w:rsid w:val="00AE3E1A"/>
    <w:rsid w:val="00AE52FA"/>
    <w:rsid w:val="00AE78C3"/>
    <w:rsid w:val="00AF11DC"/>
    <w:rsid w:val="00AF2D35"/>
    <w:rsid w:val="00AF3C94"/>
    <w:rsid w:val="00AF4C0F"/>
    <w:rsid w:val="00AF4FDF"/>
    <w:rsid w:val="00AF6D18"/>
    <w:rsid w:val="00AF797B"/>
    <w:rsid w:val="00B02192"/>
    <w:rsid w:val="00B02416"/>
    <w:rsid w:val="00B03603"/>
    <w:rsid w:val="00B040B8"/>
    <w:rsid w:val="00B04953"/>
    <w:rsid w:val="00B05750"/>
    <w:rsid w:val="00B06212"/>
    <w:rsid w:val="00B07978"/>
    <w:rsid w:val="00B07B49"/>
    <w:rsid w:val="00B12C31"/>
    <w:rsid w:val="00B14F14"/>
    <w:rsid w:val="00B15425"/>
    <w:rsid w:val="00B20AA7"/>
    <w:rsid w:val="00B20D10"/>
    <w:rsid w:val="00B21FFB"/>
    <w:rsid w:val="00B22CF5"/>
    <w:rsid w:val="00B25612"/>
    <w:rsid w:val="00B259B6"/>
    <w:rsid w:val="00B26BD4"/>
    <w:rsid w:val="00B26E12"/>
    <w:rsid w:val="00B272C8"/>
    <w:rsid w:val="00B30D70"/>
    <w:rsid w:val="00B3144E"/>
    <w:rsid w:val="00B318A8"/>
    <w:rsid w:val="00B33030"/>
    <w:rsid w:val="00B33AA1"/>
    <w:rsid w:val="00B34CA8"/>
    <w:rsid w:val="00B42672"/>
    <w:rsid w:val="00B4690E"/>
    <w:rsid w:val="00B479B7"/>
    <w:rsid w:val="00B53F53"/>
    <w:rsid w:val="00B54592"/>
    <w:rsid w:val="00B550BB"/>
    <w:rsid w:val="00B553C3"/>
    <w:rsid w:val="00B57FDC"/>
    <w:rsid w:val="00B603F2"/>
    <w:rsid w:val="00B6644E"/>
    <w:rsid w:val="00B66F6C"/>
    <w:rsid w:val="00B67CA4"/>
    <w:rsid w:val="00B72662"/>
    <w:rsid w:val="00B727FA"/>
    <w:rsid w:val="00B74ADF"/>
    <w:rsid w:val="00B80914"/>
    <w:rsid w:val="00B830C3"/>
    <w:rsid w:val="00B83683"/>
    <w:rsid w:val="00B84B87"/>
    <w:rsid w:val="00B85593"/>
    <w:rsid w:val="00B86199"/>
    <w:rsid w:val="00B863B5"/>
    <w:rsid w:val="00B87E62"/>
    <w:rsid w:val="00B90A4D"/>
    <w:rsid w:val="00B913DD"/>
    <w:rsid w:val="00B91505"/>
    <w:rsid w:val="00B9545E"/>
    <w:rsid w:val="00B96341"/>
    <w:rsid w:val="00B97A39"/>
    <w:rsid w:val="00B97A46"/>
    <w:rsid w:val="00BA575B"/>
    <w:rsid w:val="00BA787F"/>
    <w:rsid w:val="00BA79CF"/>
    <w:rsid w:val="00BB51BC"/>
    <w:rsid w:val="00BB784B"/>
    <w:rsid w:val="00BC19F2"/>
    <w:rsid w:val="00BC28D4"/>
    <w:rsid w:val="00BC2E60"/>
    <w:rsid w:val="00BC339B"/>
    <w:rsid w:val="00BC3545"/>
    <w:rsid w:val="00BC435D"/>
    <w:rsid w:val="00BC5283"/>
    <w:rsid w:val="00BC5287"/>
    <w:rsid w:val="00BD12BC"/>
    <w:rsid w:val="00BD1DEB"/>
    <w:rsid w:val="00BD322A"/>
    <w:rsid w:val="00BD4956"/>
    <w:rsid w:val="00BE03A0"/>
    <w:rsid w:val="00BE2A58"/>
    <w:rsid w:val="00BE31BD"/>
    <w:rsid w:val="00BF1D97"/>
    <w:rsid w:val="00BF2A75"/>
    <w:rsid w:val="00BF30D5"/>
    <w:rsid w:val="00BF7426"/>
    <w:rsid w:val="00C0141D"/>
    <w:rsid w:val="00C01545"/>
    <w:rsid w:val="00C0207D"/>
    <w:rsid w:val="00C047BA"/>
    <w:rsid w:val="00C04BE8"/>
    <w:rsid w:val="00C05D9B"/>
    <w:rsid w:val="00C0734E"/>
    <w:rsid w:val="00C0752A"/>
    <w:rsid w:val="00C10BE7"/>
    <w:rsid w:val="00C125BA"/>
    <w:rsid w:val="00C13D65"/>
    <w:rsid w:val="00C13F49"/>
    <w:rsid w:val="00C1560C"/>
    <w:rsid w:val="00C15A21"/>
    <w:rsid w:val="00C167E4"/>
    <w:rsid w:val="00C218FA"/>
    <w:rsid w:val="00C21D82"/>
    <w:rsid w:val="00C22C10"/>
    <w:rsid w:val="00C242DA"/>
    <w:rsid w:val="00C24FCD"/>
    <w:rsid w:val="00C25264"/>
    <w:rsid w:val="00C2558D"/>
    <w:rsid w:val="00C25AC1"/>
    <w:rsid w:val="00C2656D"/>
    <w:rsid w:val="00C26861"/>
    <w:rsid w:val="00C26911"/>
    <w:rsid w:val="00C2697A"/>
    <w:rsid w:val="00C2794C"/>
    <w:rsid w:val="00C30C84"/>
    <w:rsid w:val="00C31607"/>
    <w:rsid w:val="00C31CCE"/>
    <w:rsid w:val="00C3412D"/>
    <w:rsid w:val="00C36848"/>
    <w:rsid w:val="00C36F5F"/>
    <w:rsid w:val="00C40CDD"/>
    <w:rsid w:val="00C41464"/>
    <w:rsid w:val="00C46DC0"/>
    <w:rsid w:val="00C4717D"/>
    <w:rsid w:val="00C50894"/>
    <w:rsid w:val="00C5496E"/>
    <w:rsid w:val="00C555B3"/>
    <w:rsid w:val="00C5583F"/>
    <w:rsid w:val="00C60AAE"/>
    <w:rsid w:val="00C611FB"/>
    <w:rsid w:val="00C618F0"/>
    <w:rsid w:val="00C61D05"/>
    <w:rsid w:val="00C639D4"/>
    <w:rsid w:val="00C6447E"/>
    <w:rsid w:val="00C64684"/>
    <w:rsid w:val="00C65183"/>
    <w:rsid w:val="00C65310"/>
    <w:rsid w:val="00C7171F"/>
    <w:rsid w:val="00C73024"/>
    <w:rsid w:val="00C7576C"/>
    <w:rsid w:val="00C75CF5"/>
    <w:rsid w:val="00C764D2"/>
    <w:rsid w:val="00C772FC"/>
    <w:rsid w:val="00C77CF0"/>
    <w:rsid w:val="00C80980"/>
    <w:rsid w:val="00C840AE"/>
    <w:rsid w:val="00C86C75"/>
    <w:rsid w:val="00C86EC4"/>
    <w:rsid w:val="00C91BD5"/>
    <w:rsid w:val="00C91ECC"/>
    <w:rsid w:val="00C92B9C"/>
    <w:rsid w:val="00C9471F"/>
    <w:rsid w:val="00C96A62"/>
    <w:rsid w:val="00CA0D9A"/>
    <w:rsid w:val="00CA0FD7"/>
    <w:rsid w:val="00CA13E5"/>
    <w:rsid w:val="00CA3D52"/>
    <w:rsid w:val="00CA4E97"/>
    <w:rsid w:val="00CB2305"/>
    <w:rsid w:val="00CB3000"/>
    <w:rsid w:val="00CB4B71"/>
    <w:rsid w:val="00CB710F"/>
    <w:rsid w:val="00CB7D9C"/>
    <w:rsid w:val="00CC0850"/>
    <w:rsid w:val="00CC0C7F"/>
    <w:rsid w:val="00CC56C3"/>
    <w:rsid w:val="00CC697D"/>
    <w:rsid w:val="00CC6C4A"/>
    <w:rsid w:val="00CC6D37"/>
    <w:rsid w:val="00CD05F8"/>
    <w:rsid w:val="00CD164F"/>
    <w:rsid w:val="00CD70E9"/>
    <w:rsid w:val="00CD77D5"/>
    <w:rsid w:val="00CD7E4F"/>
    <w:rsid w:val="00CE364F"/>
    <w:rsid w:val="00CE3BF1"/>
    <w:rsid w:val="00CE5E19"/>
    <w:rsid w:val="00CE5FAA"/>
    <w:rsid w:val="00CF1629"/>
    <w:rsid w:val="00CF34CE"/>
    <w:rsid w:val="00CF4CF0"/>
    <w:rsid w:val="00CF58F0"/>
    <w:rsid w:val="00CF669F"/>
    <w:rsid w:val="00CF6E0E"/>
    <w:rsid w:val="00D011DC"/>
    <w:rsid w:val="00D032C5"/>
    <w:rsid w:val="00D04C83"/>
    <w:rsid w:val="00D06E0D"/>
    <w:rsid w:val="00D07632"/>
    <w:rsid w:val="00D07AF1"/>
    <w:rsid w:val="00D10A0E"/>
    <w:rsid w:val="00D16513"/>
    <w:rsid w:val="00D17477"/>
    <w:rsid w:val="00D179EF"/>
    <w:rsid w:val="00D21FDF"/>
    <w:rsid w:val="00D23F91"/>
    <w:rsid w:val="00D24B8D"/>
    <w:rsid w:val="00D252A1"/>
    <w:rsid w:val="00D25621"/>
    <w:rsid w:val="00D260DF"/>
    <w:rsid w:val="00D32BB4"/>
    <w:rsid w:val="00D350CB"/>
    <w:rsid w:val="00D3562E"/>
    <w:rsid w:val="00D368DD"/>
    <w:rsid w:val="00D3698A"/>
    <w:rsid w:val="00D43547"/>
    <w:rsid w:val="00D43912"/>
    <w:rsid w:val="00D43B0D"/>
    <w:rsid w:val="00D465F1"/>
    <w:rsid w:val="00D5239A"/>
    <w:rsid w:val="00D5317C"/>
    <w:rsid w:val="00D53D5C"/>
    <w:rsid w:val="00D549A4"/>
    <w:rsid w:val="00D564D6"/>
    <w:rsid w:val="00D57726"/>
    <w:rsid w:val="00D648AA"/>
    <w:rsid w:val="00D66823"/>
    <w:rsid w:val="00D66B22"/>
    <w:rsid w:val="00D733FC"/>
    <w:rsid w:val="00D7389E"/>
    <w:rsid w:val="00D7440B"/>
    <w:rsid w:val="00D7494F"/>
    <w:rsid w:val="00D749A5"/>
    <w:rsid w:val="00D80C9A"/>
    <w:rsid w:val="00D80D7F"/>
    <w:rsid w:val="00D81314"/>
    <w:rsid w:val="00D817A7"/>
    <w:rsid w:val="00D85E59"/>
    <w:rsid w:val="00D86525"/>
    <w:rsid w:val="00D87AC9"/>
    <w:rsid w:val="00D87C8F"/>
    <w:rsid w:val="00D9255A"/>
    <w:rsid w:val="00D92AA2"/>
    <w:rsid w:val="00D93749"/>
    <w:rsid w:val="00D951D6"/>
    <w:rsid w:val="00D971F7"/>
    <w:rsid w:val="00D97789"/>
    <w:rsid w:val="00D9787C"/>
    <w:rsid w:val="00DA1328"/>
    <w:rsid w:val="00DB1F8D"/>
    <w:rsid w:val="00DB26B2"/>
    <w:rsid w:val="00DB4B43"/>
    <w:rsid w:val="00DB51C0"/>
    <w:rsid w:val="00DB62E9"/>
    <w:rsid w:val="00DB6F56"/>
    <w:rsid w:val="00DB7AB2"/>
    <w:rsid w:val="00DC0804"/>
    <w:rsid w:val="00DC0D1A"/>
    <w:rsid w:val="00DC2493"/>
    <w:rsid w:val="00DC36EE"/>
    <w:rsid w:val="00DC570D"/>
    <w:rsid w:val="00DD0300"/>
    <w:rsid w:val="00DD5B94"/>
    <w:rsid w:val="00DD5E6C"/>
    <w:rsid w:val="00DD6030"/>
    <w:rsid w:val="00DE0AD7"/>
    <w:rsid w:val="00DE1E7E"/>
    <w:rsid w:val="00DE47D1"/>
    <w:rsid w:val="00DE496B"/>
    <w:rsid w:val="00DE4A57"/>
    <w:rsid w:val="00DE4C19"/>
    <w:rsid w:val="00DE747A"/>
    <w:rsid w:val="00DF0A8D"/>
    <w:rsid w:val="00DF1BB9"/>
    <w:rsid w:val="00DF22D1"/>
    <w:rsid w:val="00DF260D"/>
    <w:rsid w:val="00DF3164"/>
    <w:rsid w:val="00DF66CC"/>
    <w:rsid w:val="00DF6D56"/>
    <w:rsid w:val="00DF760E"/>
    <w:rsid w:val="00DF7C68"/>
    <w:rsid w:val="00DF7DF6"/>
    <w:rsid w:val="00E01ABD"/>
    <w:rsid w:val="00E02A9C"/>
    <w:rsid w:val="00E049DA"/>
    <w:rsid w:val="00E05ABA"/>
    <w:rsid w:val="00E05D9F"/>
    <w:rsid w:val="00E10809"/>
    <w:rsid w:val="00E10C3A"/>
    <w:rsid w:val="00E11557"/>
    <w:rsid w:val="00E129F8"/>
    <w:rsid w:val="00E13EE4"/>
    <w:rsid w:val="00E1427D"/>
    <w:rsid w:val="00E1647B"/>
    <w:rsid w:val="00E24B8E"/>
    <w:rsid w:val="00E2565F"/>
    <w:rsid w:val="00E26752"/>
    <w:rsid w:val="00E26A19"/>
    <w:rsid w:val="00E26B00"/>
    <w:rsid w:val="00E27759"/>
    <w:rsid w:val="00E3343E"/>
    <w:rsid w:val="00E34BB7"/>
    <w:rsid w:val="00E3728F"/>
    <w:rsid w:val="00E41053"/>
    <w:rsid w:val="00E42735"/>
    <w:rsid w:val="00E46B0A"/>
    <w:rsid w:val="00E53465"/>
    <w:rsid w:val="00E554BB"/>
    <w:rsid w:val="00E575CD"/>
    <w:rsid w:val="00E57A1A"/>
    <w:rsid w:val="00E60B8D"/>
    <w:rsid w:val="00E649FA"/>
    <w:rsid w:val="00E65D61"/>
    <w:rsid w:val="00E713C6"/>
    <w:rsid w:val="00E73FA8"/>
    <w:rsid w:val="00E7428C"/>
    <w:rsid w:val="00E74321"/>
    <w:rsid w:val="00E80004"/>
    <w:rsid w:val="00E818BB"/>
    <w:rsid w:val="00E82AC6"/>
    <w:rsid w:val="00E8437B"/>
    <w:rsid w:val="00E845FC"/>
    <w:rsid w:val="00E85249"/>
    <w:rsid w:val="00E85879"/>
    <w:rsid w:val="00E85D03"/>
    <w:rsid w:val="00E85FED"/>
    <w:rsid w:val="00E86755"/>
    <w:rsid w:val="00E867F2"/>
    <w:rsid w:val="00E87DB7"/>
    <w:rsid w:val="00E919BA"/>
    <w:rsid w:val="00E94C77"/>
    <w:rsid w:val="00E95AE0"/>
    <w:rsid w:val="00EA0E1B"/>
    <w:rsid w:val="00EA1901"/>
    <w:rsid w:val="00EA28AE"/>
    <w:rsid w:val="00EA3B3F"/>
    <w:rsid w:val="00EA4069"/>
    <w:rsid w:val="00EA457E"/>
    <w:rsid w:val="00EA5672"/>
    <w:rsid w:val="00EA574F"/>
    <w:rsid w:val="00EA593E"/>
    <w:rsid w:val="00EA6FE0"/>
    <w:rsid w:val="00EA7E1B"/>
    <w:rsid w:val="00EB08DE"/>
    <w:rsid w:val="00EB49A8"/>
    <w:rsid w:val="00EB4B00"/>
    <w:rsid w:val="00EC129B"/>
    <w:rsid w:val="00EC1C29"/>
    <w:rsid w:val="00EC274D"/>
    <w:rsid w:val="00EC2C7F"/>
    <w:rsid w:val="00EC3318"/>
    <w:rsid w:val="00EC390A"/>
    <w:rsid w:val="00EC3B24"/>
    <w:rsid w:val="00EC55FD"/>
    <w:rsid w:val="00ED0525"/>
    <w:rsid w:val="00ED0BD0"/>
    <w:rsid w:val="00ED383E"/>
    <w:rsid w:val="00ED6438"/>
    <w:rsid w:val="00EE0C79"/>
    <w:rsid w:val="00EE2134"/>
    <w:rsid w:val="00EE2856"/>
    <w:rsid w:val="00EE28C7"/>
    <w:rsid w:val="00EE2D4D"/>
    <w:rsid w:val="00EE303B"/>
    <w:rsid w:val="00EE3643"/>
    <w:rsid w:val="00EE3B2D"/>
    <w:rsid w:val="00EE451F"/>
    <w:rsid w:val="00EE540F"/>
    <w:rsid w:val="00EE561C"/>
    <w:rsid w:val="00EE6070"/>
    <w:rsid w:val="00EE6C7D"/>
    <w:rsid w:val="00EF12F9"/>
    <w:rsid w:val="00EF269C"/>
    <w:rsid w:val="00EF306E"/>
    <w:rsid w:val="00EF45C8"/>
    <w:rsid w:val="00EF589F"/>
    <w:rsid w:val="00EF7E1C"/>
    <w:rsid w:val="00F0064C"/>
    <w:rsid w:val="00F006E0"/>
    <w:rsid w:val="00F01622"/>
    <w:rsid w:val="00F0205D"/>
    <w:rsid w:val="00F0304F"/>
    <w:rsid w:val="00F03176"/>
    <w:rsid w:val="00F042F7"/>
    <w:rsid w:val="00F04E2C"/>
    <w:rsid w:val="00F062BC"/>
    <w:rsid w:val="00F07CD1"/>
    <w:rsid w:val="00F11648"/>
    <w:rsid w:val="00F14444"/>
    <w:rsid w:val="00F17C15"/>
    <w:rsid w:val="00F2143B"/>
    <w:rsid w:val="00F22D7F"/>
    <w:rsid w:val="00F25BCA"/>
    <w:rsid w:val="00F27636"/>
    <w:rsid w:val="00F27E79"/>
    <w:rsid w:val="00F3036F"/>
    <w:rsid w:val="00F304B3"/>
    <w:rsid w:val="00F30705"/>
    <w:rsid w:val="00F33CC5"/>
    <w:rsid w:val="00F3461F"/>
    <w:rsid w:val="00F36BD1"/>
    <w:rsid w:val="00F40DD3"/>
    <w:rsid w:val="00F41A11"/>
    <w:rsid w:val="00F468B9"/>
    <w:rsid w:val="00F510ED"/>
    <w:rsid w:val="00F518F4"/>
    <w:rsid w:val="00F5226F"/>
    <w:rsid w:val="00F52B46"/>
    <w:rsid w:val="00F52C74"/>
    <w:rsid w:val="00F53A5B"/>
    <w:rsid w:val="00F53E16"/>
    <w:rsid w:val="00F564BC"/>
    <w:rsid w:val="00F5746A"/>
    <w:rsid w:val="00F57910"/>
    <w:rsid w:val="00F67C6B"/>
    <w:rsid w:val="00F67D64"/>
    <w:rsid w:val="00F728C3"/>
    <w:rsid w:val="00F7399E"/>
    <w:rsid w:val="00F746A0"/>
    <w:rsid w:val="00F7682B"/>
    <w:rsid w:val="00F7790D"/>
    <w:rsid w:val="00F810CA"/>
    <w:rsid w:val="00F812FC"/>
    <w:rsid w:val="00F8131C"/>
    <w:rsid w:val="00F87102"/>
    <w:rsid w:val="00F8722B"/>
    <w:rsid w:val="00F87324"/>
    <w:rsid w:val="00F8761D"/>
    <w:rsid w:val="00F90163"/>
    <w:rsid w:val="00F91BAC"/>
    <w:rsid w:val="00F91DBA"/>
    <w:rsid w:val="00F94442"/>
    <w:rsid w:val="00F95372"/>
    <w:rsid w:val="00F96195"/>
    <w:rsid w:val="00F96340"/>
    <w:rsid w:val="00F964A5"/>
    <w:rsid w:val="00F9773C"/>
    <w:rsid w:val="00FA36B1"/>
    <w:rsid w:val="00FA6E85"/>
    <w:rsid w:val="00FA7049"/>
    <w:rsid w:val="00FA72FF"/>
    <w:rsid w:val="00FA77F9"/>
    <w:rsid w:val="00FB29E6"/>
    <w:rsid w:val="00FB7C4E"/>
    <w:rsid w:val="00FC17BD"/>
    <w:rsid w:val="00FC2C15"/>
    <w:rsid w:val="00FC32B8"/>
    <w:rsid w:val="00FC49BA"/>
    <w:rsid w:val="00FC51EA"/>
    <w:rsid w:val="00FC765C"/>
    <w:rsid w:val="00FD2738"/>
    <w:rsid w:val="00FD2912"/>
    <w:rsid w:val="00FD37C9"/>
    <w:rsid w:val="00FD3CF2"/>
    <w:rsid w:val="00FD3DE2"/>
    <w:rsid w:val="00FD40C5"/>
    <w:rsid w:val="00FD7456"/>
    <w:rsid w:val="00FD7E20"/>
    <w:rsid w:val="00FE1548"/>
    <w:rsid w:val="00FE183B"/>
    <w:rsid w:val="00FE3A2A"/>
    <w:rsid w:val="00FE3C4B"/>
    <w:rsid w:val="00FE52F9"/>
    <w:rsid w:val="00FE5F9E"/>
    <w:rsid w:val="00FE6850"/>
    <w:rsid w:val="00FE7261"/>
    <w:rsid w:val="00FF004C"/>
    <w:rsid w:val="00FF019B"/>
    <w:rsid w:val="00FF126C"/>
    <w:rsid w:val="00FF54FA"/>
    <w:rsid w:val="00FF55A1"/>
    <w:rsid w:val="00FF5972"/>
    <w:rsid w:val="080B1143"/>
    <w:rsid w:val="36E5E6D8"/>
    <w:rsid w:val="44141D86"/>
    <w:rsid w:val="6578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5F9B49C"/>
  <w15:docId w15:val="{4F8A2CBD-1597-4FD0-9B0E-7DDD2EB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314"/>
    <w:rPr>
      <w:rFonts w:ascii="Arial" w:hAnsi="Arial"/>
      <w:sz w:val="24"/>
      <w:lang w:eastAsia="en-US"/>
    </w:rPr>
  </w:style>
  <w:style w:type="paragraph" w:styleId="Heading1">
    <w:name w:val="heading 1"/>
    <w:basedOn w:val="Normal"/>
    <w:next w:val="Normal"/>
    <w:link w:val="Heading1Char"/>
    <w:qFormat/>
    <w:rsid w:val="00343828"/>
    <w:pPr>
      <w:keepNext/>
      <w:spacing w:before="240" w:after="60"/>
      <w:ind w:left="720" w:hanging="720"/>
      <w:outlineLvl w:val="0"/>
    </w:pPr>
    <w:rPr>
      <w:rFonts w:cs="Arial"/>
      <w:b/>
      <w:bCs/>
      <w:kern w:val="32"/>
      <w:sz w:val="28"/>
      <w:szCs w:val="32"/>
    </w:rPr>
  </w:style>
  <w:style w:type="paragraph" w:styleId="Heading2">
    <w:name w:val="heading 2"/>
    <w:basedOn w:val="Normal"/>
    <w:next w:val="Normal"/>
    <w:link w:val="Heading2Char"/>
    <w:semiHidden/>
    <w:unhideWhenUsed/>
    <w:qFormat/>
    <w:rsid w:val="005346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uiPriority w:val="99"/>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C86C75"/>
    <w:pPr>
      <w:tabs>
        <w:tab w:val="right" w:leader="dot" w:pos="8931"/>
      </w:tabs>
      <w:spacing w:after="240"/>
      <w:ind w:left="1162" w:hanging="1162"/>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343828"/>
    <w:rPr>
      <w:rFonts w:ascii="Arial" w:hAnsi="Arial" w:cs="Arial"/>
      <w:b/>
      <w:bCs/>
      <w:kern w:val="32"/>
      <w:sz w:val="28"/>
      <w:szCs w:val="32"/>
      <w:lang w:eastAsia="en-US"/>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C0DD5"/>
    <w:rPr>
      <w:rFonts w:ascii="Arial" w:hAnsi="Arial"/>
      <w:sz w:val="22"/>
      <w:szCs w:val="22"/>
      <w:lang w:val="en-US" w:eastAsia="en-US"/>
    </w:rPr>
  </w:style>
  <w:style w:type="character" w:styleId="CommentReference">
    <w:name w:val="annotation reference"/>
    <w:basedOn w:val="DefaultParagraphFont"/>
    <w:rsid w:val="00574899"/>
    <w:rPr>
      <w:sz w:val="16"/>
      <w:szCs w:val="16"/>
    </w:rPr>
  </w:style>
  <w:style w:type="paragraph" w:styleId="CommentText">
    <w:name w:val="annotation text"/>
    <w:basedOn w:val="Normal"/>
    <w:link w:val="CommentTextChar"/>
    <w:rsid w:val="00574899"/>
    <w:rPr>
      <w:sz w:val="20"/>
    </w:rPr>
  </w:style>
  <w:style w:type="character" w:customStyle="1" w:styleId="CommentTextChar">
    <w:name w:val="Comment Text Char"/>
    <w:basedOn w:val="DefaultParagraphFont"/>
    <w:link w:val="CommentText"/>
    <w:rsid w:val="00574899"/>
    <w:rPr>
      <w:rFonts w:ascii="Arial" w:hAnsi="Arial"/>
      <w:lang w:eastAsia="en-US"/>
    </w:rPr>
  </w:style>
  <w:style w:type="paragraph" w:styleId="CommentSubject">
    <w:name w:val="annotation subject"/>
    <w:basedOn w:val="CommentText"/>
    <w:next w:val="CommentText"/>
    <w:link w:val="CommentSubjectChar"/>
    <w:rsid w:val="00574899"/>
    <w:rPr>
      <w:b/>
      <w:bCs/>
    </w:rPr>
  </w:style>
  <w:style w:type="character" w:customStyle="1" w:styleId="CommentSubjectChar">
    <w:name w:val="Comment Subject Char"/>
    <w:basedOn w:val="CommentTextChar"/>
    <w:link w:val="CommentSubject"/>
    <w:rsid w:val="00574899"/>
    <w:rPr>
      <w:rFonts w:ascii="Arial" w:hAnsi="Arial"/>
      <w:b/>
      <w:bCs/>
      <w:lang w:eastAsia="en-US"/>
    </w:rPr>
  </w:style>
  <w:style w:type="paragraph" w:styleId="ListParagraph">
    <w:name w:val="List Paragraph"/>
    <w:basedOn w:val="Normal"/>
    <w:qFormat/>
    <w:rsid w:val="007A157F"/>
    <w:pPr>
      <w:ind w:left="720"/>
      <w:contextualSpacing/>
    </w:pPr>
    <w:rPr>
      <w:rFonts w:cs="Arial"/>
      <w:szCs w:val="24"/>
      <w:lang w:eastAsia="en-GB"/>
    </w:rPr>
  </w:style>
  <w:style w:type="paragraph" w:styleId="TOC2">
    <w:name w:val="toc 2"/>
    <w:basedOn w:val="Normal"/>
    <w:next w:val="Normal"/>
    <w:autoRedefine/>
    <w:uiPriority w:val="39"/>
    <w:rsid w:val="0051229D"/>
    <w:pPr>
      <w:tabs>
        <w:tab w:val="left" w:pos="1162"/>
        <w:tab w:val="right" w:leader="dot" w:pos="8931"/>
      </w:tabs>
      <w:spacing w:after="240"/>
      <w:ind w:left="238"/>
    </w:pPr>
  </w:style>
  <w:style w:type="paragraph" w:styleId="NoSpacing">
    <w:name w:val="No Spacing"/>
    <w:uiPriority w:val="1"/>
    <w:qFormat/>
    <w:rsid w:val="00B30D70"/>
    <w:rPr>
      <w:rFonts w:ascii="Arial" w:hAnsi="Arial"/>
      <w:sz w:val="24"/>
      <w:lang w:eastAsia="en-US"/>
    </w:rPr>
  </w:style>
  <w:style w:type="paragraph" w:styleId="Revision">
    <w:name w:val="Revision"/>
    <w:hidden/>
    <w:uiPriority w:val="99"/>
    <w:semiHidden/>
    <w:rsid w:val="006811AD"/>
    <w:rPr>
      <w:rFonts w:ascii="Arial" w:hAnsi="Arial"/>
      <w:sz w:val="24"/>
      <w:lang w:eastAsia="en-US"/>
    </w:rPr>
  </w:style>
  <w:style w:type="paragraph" w:styleId="TOCHeading">
    <w:name w:val="TOC Heading"/>
    <w:basedOn w:val="Heading1"/>
    <w:next w:val="Normal"/>
    <w:uiPriority w:val="39"/>
    <w:unhideWhenUsed/>
    <w:qFormat/>
    <w:rsid w:val="00805519"/>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PolLevel2">
    <w:name w:val="Pol Level 2"/>
    <w:basedOn w:val="Normal"/>
    <w:rsid w:val="00805519"/>
    <w:pPr>
      <w:numPr>
        <w:ilvl w:val="1"/>
        <w:numId w:val="23"/>
      </w:numPr>
    </w:pPr>
  </w:style>
  <w:style w:type="paragraph" w:customStyle="1" w:styleId="PolLevel3">
    <w:name w:val="Pol Level 3"/>
    <w:basedOn w:val="Normal"/>
    <w:rsid w:val="00805519"/>
    <w:pPr>
      <w:numPr>
        <w:ilvl w:val="2"/>
        <w:numId w:val="23"/>
      </w:numPr>
    </w:pPr>
  </w:style>
  <w:style w:type="paragraph" w:customStyle="1" w:styleId="PolLevel4">
    <w:name w:val="Pol Level 4"/>
    <w:basedOn w:val="Normal"/>
    <w:rsid w:val="00805519"/>
    <w:pPr>
      <w:numPr>
        <w:ilvl w:val="3"/>
        <w:numId w:val="23"/>
      </w:numPr>
    </w:pPr>
  </w:style>
  <w:style w:type="character" w:customStyle="1" w:styleId="Heading2Char">
    <w:name w:val="Heading 2 Char"/>
    <w:basedOn w:val="DefaultParagraphFont"/>
    <w:link w:val="Heading2"/>
    <w:rsid w:val="005346CD"/>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8101">
      <w:bodyDiv w:val="1"/>
      <w:marLeft w:val="0"/>
      <w:marRight w:val="0"/>
      <w:marTop w:val="0"/>
      <w:marBottom w:val="0"/>
      <w:divBdr>
        <w:top w:val="none" w:sz="0" w:space="0" w:color="auto"/>
        <w:left w:val="none" w:sz="0" w:space="0" w:color="auto"/>
        <w:bottom w:val="none" w:sz="0" w:space="0" w:color="auto"/>
        <w:right w:val="none" w:sz="0" w:space="0" w:color="auto"/>
      </w:divBdr>
    </w:div>
    <w:div w:id="1346253385">
      <w:bodyDiv w:val="1"/>
      <w:marLeft w:val="0"/>
      <w:marRight w:val="0"/>
      <w:marTop w:val="0"/>
      <w:marBottom w:val="0"/>
      <w:divBdr>
        <w:top w:val="none" w:sz="0" w:space="0" w:color="auto"/>
        <w:left w:val="none" w:sz="0" w:space="0" w:color="auto"/>
        <w:bottom w:val="none" w:sz="0" w:space="0" w:color="auto"/>
        <w:right w:val="none" w:sz="0" w:space="0" w:color="auto"/>
      </w:divBdr>
      <w:divsChild>
        <w:div w:id="140741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businessdictionary.com/definition/environmen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usinessdictionary.com/definition/changes.html"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Dixon\AppData\Local\Microsoft\Windows\Temporary%20Internet%20Files\Content.IE5\X9MKDVKI\Policy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D925410D-4FC6-4A9E-9A66-2645E554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E19BB-0EC0-42F1-8340-A58274227B08}">
  <ds:schemaRefs>
    <ds:schemaRef ds:uri="http://schemas.microsoft.com/sharepoint/v3/contenttype/forms"/>
  </ds:schemaRefs>
</ds:datastoreItem>
</file>

<file path=customXml/itemProps3.xml><?xml version="1.0" encoding="utf-8"?>
<ds:datastoreItem xmlns:ds="http://schemas.openxmlformats.org/officeDocument/2006/customXml" ds:itemID="{103DA6D5-4703-405C-A36C-6948044AC2CC}">
  <ds:schemaRefs>
    <ds:schemaRef ds:uri="http://schemas.openxmlformats.org/officeDocument/2006/bibliography"/>
  </ds:schemaRefs>
</ds:datastoreItem>
</file>

<file path=customXml/itemProps4.xml><?xml version="1.0" encoding="utf-8"?>
<ds:datastoreItem xmlns:ds="http://schemas.openxmlformats.org/officeDocument/2006/customXml" ds:itemID="{F5837095-CE51-463B-8AD9-F444DFE176B8}">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docProps/app.xml><?xml version="1.0" encoding="utf-8"?>
<Properties xmlns="http://schemas.openxmlformats.org/officeDocument/2006/extended-properties" xmlns:vt="http://schemas.openxmlformats.org/officeDocument/2006/docPropsVTypes">
  <Template>Policy_Template[1]</Template>
  <TotalTime>217</TotalTime>
  <Pages>17</Pages>
  <Words>4409</Words>
  <Characters>26323</Characters>
  <Application>Microsoft Office Word</Application>
  <DocSecurity>0</DocSecurity>
  <Lines>940</Lines>
  <Paragraphs>393</Paragraphs>
  <ScaleCrop>false</ScaleCrop>
  <Company>Surrey Ambulance Service NHS Trust</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David Dixon</dc:creator>
  <cp:lastModifiedBy>Juliana Umoh</cp:lastModifiedBy>
  <cp:revision>19</cp:revision>
  <cp:lastPrinted>2015-08-13T09:00:00Z</cp:lastPrinted>
  <dcterms:created xsi:type="dcterms:W3CDTF">2025-11-13T08:09:00Z</dcterms:created>
  <dcterms:modified xsi:type="dcterms:W3CDTF">2026-05-29T14:36:00Z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0x010100E51D3FF2E8B1344E8FCA33E8D6430152</vt:lpwstr>
  </property>
  <property fmtid="{D5CDD505-2E9C-101B-9397-08002B2CF9AE}" pid="11" name="docLang">
    <vt:lpwstr>en</vt:lpwstr>
  </property>
</Properties>
</file>