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FC77" w14:textId="45439A3C" w:rsidR="00ED0BD0" w:rsidRDefault="00B17F13" w:rsidP="0050716E">
      <w:pPr>
        <w:tabs>
          <w:tab w:val="left" w:pos="1162"/>
        </w:tabs>
        <w:ind w:left="1162" w:hanging="1162"/>
        <w:rPr>
          <w:rFonts w:cs="Arial"/>
          <w:szCs w:val="24"/>
        </w:rPr>
      </w:pPr>
      <w:r>
        <w:rPr>
          <w:rFonts w:cs="Arial"/>
          <w:szCs w:val="24"/>
        </w:rPr>
        <w:t>16</w:t>
      </w:r>
    </w:p>
    <w:p w14:paraId="4993FC78" w14:textId="77777777" w:rsidR="00ED0BD0" w:rsidRDefault="00ED0BD0" w:rsidP="0050716E">
      <w:pPr>
        <w:tabs>
          <w:tab w:val="left" w:pos="1162"/>
        </w:tabs>
        <w:ind w:left="1162" w:hanging="1162"/>
        <w:rPr>
          <w:rFonts w:cs="Arial"/>
          <w:szCs w:val="24"/>
        </w:rPr>
      </w:pPr>
    </w:p>
    <w:p w14:paraId="4993FC79" w14:textId="77777777" w:rsidR="00ED0BD0" w:rsidRDefault="00ED0BD0" w:rsidP="0050716E">
      <w:pPr>
        <w:tabs>
          <w:tab w:val="left" w:pos="1162"/>
        </w:tabs>
        <w:ind w:left="1162" w:hanging="1162"/>
        <w:rPr>
          <w:rFonts w:cs="Arial"/>
          <w:szCs w:val="24"/>
        </w:rPr>
      </w:pPr>
    </w:p>
    <w:p w14:paraId="4993FC7A" w14:textId="77777777" w:rsidR="00ED0BD0" w:rsidRDefault="00ED0BD0" w:rsidP="0050716E">
      <w:pPr>
        <w:tabs>
          <w:tab w:val="left" w:pos="1162"/>
        </w:tabs>
        <w:ind w:left="1162" w:hanging="1162"/>
        <w:rPr>
          <w:rFonts w:cs="Arial"/>
          <w:szCs w:val="24"/>
        </w:rPr>
      </w:pPr>
    </w:p>
    <w:p w14:paraId="4993FC7B" w14:textId="77777777" w:rsidR="00ED0BD0" w:rsidRDefault="00ED0BD0" w:rsidP="0050716E">
      <w:pPr>
        <w:tabs>
          <w:tab w:val="left" w:pos="1162"/>
        </w:tabs>
        <w:ind w:left="1162" w:hanging="1162"/>
        <w:rPr>
          <w:rFonts w:cs="Arial"/>
          <w:szCs w:val="24"/>
        </w:rPr>
      </w:pPr>
    </w:p>
    <w:p w14:paraId="4993FC7C" w14:textId="77777777" w:rsidR="00ED0BD0" w:rsidRDefault="00ED0BD0" w:rsidP="0050716E">
      <w:pPr>
        <w:tabs>
          <w:tab w:val="left" w:pos="1162"/>
        </w:tabs>
        <w:ind w:left="1162" w:hanging="1162"/>
        <w:rPr>
          <w:rFonts w:cs="Arial"/>
          <w:szCs w:val="24"/>
        </w:rPr>
      </w:pPr>
    </w:p>
    <w:p w14:paraId="4993FC7D" w14:textId="77777777" w:rsidR="00ED0BD0" w:rsidRDefault="00ED0BD0" w:rsidP="0050716E">
      <w:pPr>
        <w:tabs>
          <w:tab w:val="left" w:pos="1162"/>
        </w:tabs>
        <w:ind w:left="1162" w:hanging="1162"/>
        <w:rPr>
          <w:rFonts w:cs="Arial"/>
          <w:szCs w:val="24"/>
        </w:rPr>
      </w:pPr>
    </w:p>
    <w:p w14:paraId="4993FC7E" w14:textId="77777777" w:rsidR="00ED0BD0" w:rsidRDefault="00ED0BD0" w:rsidP="0050716E">
      <w:pPr>
        <w:tabs>
          <w:tab w:val="left" w:pos="1162"/>
        </w:tabs>
        <w:ind w:left="1162" w:hanging="1162"/>
        <w:rPr>
          <w:rFonts w:cs="Arial"/>
          <w:szCs w:val="24"/>
        </w:rPr>
      </w:pPr>
    </w:p>
    <w:p w14:paraId="4993FC7F" w14:textId="77777777" w:rsidR="00ED0BD0" w:rsidRDefault="00ED0BD0" w:rsidP="0050716E">
      <w:pPr>
        <w:tabs>
          <w:tab w:val="left" w:pos="1162"/>
        </w:tabs>
        <w:ind w:left="1162" w:hanging="1162"/>
        <w:rPr>
          <w:rFonts w:cs="Arial"/>
          <w:szCs w:val="24"/>
        </w:rPr>
      </w:pPr>
    </w:p>
    <w:p w14:paraId="4993FC80" w14:textId="77777777" w:rsidR="00ED0BD0" w:rsidRDefault="00ED0BD0" w:rsidP="0050716E">
      <w:pPr>
        <w:tabs>
          <w:tab w:val="left" w:pos="1162"/>
        </w:tabs>
        <w:ind w:left="1162" w:hanging="1162"/>
        <w:rPr>
          <w:rFonts w:cs="Arial"/>
          <w:szCs w:val="24"/>
        </w:rPr>
      </w:pPr>
    </w:p>
    <w:p w14:paraId="4993FC81" w14:textId="77777777" w:rsidR="00ED0BD0" w:rsidRDefault="00ED0BD0" w:rsidP="0050716E">
      <w:pPr>
        <w:tabs>
          <w:tab w:val="left" w:pos="1162"/>
        </w:tabs>
        <w:ind w:left="1162" w:hanging="1162"/>
        <w:rPr>
          <w:rFonts w:cs="Arial"/>
          <w:szCs w:val="24"/>
        </w:rPr>
      </w:pPr>
    </w:p>
    <w:p w14:paraId="4993FC82" w14:textId="77777777" w:rsidR="00ED0BD0" w:rsidRDefault="00ED0BD0" w:rsidP="0050716E">
      <w:pPr>
        <w:tabs>
          <w:tab w:val="left" w:pos="1162"/>
        </w:tabs>
        <w:ind w:left="1162" w:hanging="1162"/>
        <w:rPr>
          <w:rFonts w:cs="Arial"/>
          <w:szCs w:val="24"/>
        </w:rPr>
      </w:pPr>
    </w:p>
    <w:p w14:paraId="4993FC83" w14:textId="77777777" w:rsidR="00ED0BD0" w:rsidRDefault="00ED0BD0" w:rsidP="0050716E">
      <w:pPr>
        <w:tabs>
          <w:tab w:val="left" w:pos="1162"/>
        </w:tabs>
        <w:ind w:left="1162" w:hanging="1162"/>
        <w:rPr>
          <w:rFonts w:cs="Arial"/>
          <w:szCs w:val="24"/>
        </w:rPr>
      </w:pPr>
    </w:p>
    <w:p w14:paraId="4993FC84" w14:textId="77777777" w:rsidR="00ED0BD0" w:rsidRDefault="00ED0BD0" w:rsidP="0050716E">
      <w:pPr>
        <w:tabs>
          <w:tab w:val="left" w:pos="1162"/>
        </w:tabs>
        <w:ind w:left="1162" w:hanging="1162"/>
        <w:rPr>
          <w:rFonts w:cs="Arial"/>
          <w:szCs w:val="24"/>
        </w:rPr>
      </w:pPr>
    </w:p>
    <w:p w14:paraId="4993FC85" w14:textId="77777777" w:rsidR="00ED0BD0" w:rsidRDefault="00ED0BD0" w:rsidP="0050716E">
      <w:pPr>
        <w:tabs>
          <w:tab w:val="left" w:pos="1162"/>
        </w:tabs>
        <w:ind w:left="1162" w:hanging="1162"/>
        <w:rPr>
          <w:rFonts w:cs="Arial"/>
          <w:szCs w:val="24"/>
        </w:rPr>
      </w:pPr>
    </w:p>
    <w:p w14:paraId="4993FC8D" w14:textId="2307880E" w:rsidR="00ED0BD0" w:rsidRPr="0088232E" w:rsidRDefault="009E4A8F" w:rsidP="009E4A8F">
      <w:pPr>
        <w:jc w:val="center"/>
        <w:rPr>
          <w:rFonts w:cs="Arial"/>
          <w:szCs w:val="24"/>
        </w:rPr>
      </w:pPr>
      <w:bookmarkStart w:id="0" w:name="_Hlk135901475"/>
      <w:r>
        <w:rPr>
          <w:rFonts w:cs="Arial"/>
          <w:b/>
          <w:sz w:val="32"/>
          <w:szCs w:val="32"/>
        </w:rPr>
        <w:t xml:space="preserve">Driving Standards </w:t>
      </w:r>
      <w:r w:rsidR="00ED0BD0" w:rsidRPr="008A0D24">
        <w:rPr>
          <w:rFonts w:cs="Arial"/>
          <w:b/>
          <w:sz w:val="32"/>
          <w:szCs w:val="32"/>
        </w:rPr>
        <w:t>P</w:t>
      </w:r>
      <w:r w:rsidR="009321E0">
        <w:rPr>
          <w:rFonts w:cs="Arial"/>
          <w:b/>
          <w:sz w:val="32"/>
          <w:szCs w:val="32"/>
        </w:rPr>
        <w:t>rocedure</w:t>
      </w:r>
    </w:p>
    <w:bookmarkEnd w:id="0"/>
    <w:p w14:paraId="4993FC8E" w14:textId="77777777" w:rsidR="00ED0BD0" w:rsidRDefault="00ED0BD0" w:rsidP="0050716E">
      <w:pPr>
        <w:tabs>
          <w:tab w:val="left" w:pos="1162"/>
        </w:tabs>
        <w:ind w:left="1162" w:hanging="1162"/>
        <w:rPr>
          <w:rFonts w:cs="Arial"/>
          <w:szCs w:val="24"/>
        </w:rPr>
      </w:pPr>
    </w:p>
    <w:p w14:paraId="4993FC8F" w14:textId="77777777" w:rsidR="0049606A" w:rsidRDefault="0049606A" w:rsidP="0050716E">
      <w:pPr>
        <w:tabs>
          <w:tab w:val="left" w:pos="1162"/>
        </w:tabs>
        <w:ind w:left="1162" w:hanging="1162"/>
        <w:rPr>
          <w:rFonts w:cs="Arial"/>
          <w:szCs w:val="24"/>
        </w:rPr>
      </w:pPr>
    </w:p>
    <w:p w14:paraId="4993FC90" w14:textId="77777777" w:rsidR="0049606A" w:rsidRDefault="0049606A" w:rsidP="0050716E">
      <w:pPr>
        <w:tabs>
          <w:tab w:val="left" w:pos="1162"/>
        </w:tabs>
        <w:ind w:left="1162" w:hanging="1162"/>
        <w:rPr>
          <w:rFonts w:cs="Arial"/>
          <w:szCs w:val="24"/>
        </w:rPr>
      </w:pPr>
    </w:p>
    <w:p w14:paraId="4993FC91" w14:textId="77777777" w:rsidR="0049606A" w:rsidRDefault="0049606A" w:rsidP="0050716E">
      <w:pPr>
        <w:tabs>
          <w:tab w:val="left" w:pos="1162"/>
        </w:tabs>
        <w:ind w:left="1162" w:hanging="1162"/>
        <w:rPr>
          <w:rFonts w:cs="Arial"/>
          <w:szCs w:val="24"/>
        </w:rPr>
      </w:pPr>
    </w:p>
    <w:p w14:paraId="4993FC92" w14:textId="77777777" w:rsidR="0049606A" w:rsidRPr="0088232E" w:rsidRDefault="0049606A" w:rsidP="0050716E">
      <w:pPr>
        <w:tabs>
          <w:tab w:val="left" w:pos="1162"/>
        </w:tabs>
        <w:ind w:left="1162" w:hanging="1162"/>
        <w:rPr>
          <w:rFonts w:cs="Arial"/>
          <w:szCs w:val="24"/>
        </w:rPr>
      </w:pPr>
    </w:p>
    <w:p w14:paraId="4993FC93" w14:textId="77777777" w:rsidR="00ED0BD0" w:rsidRPr="0088232E" w:rsidRDefault="00ED0BD0" w:rsidP="0050716E">
      <w:pPr>
        <w:tabs>
          <w:tab w:val="left" w:pos="1162"/>
        </w:tabs>
        <w:ind w:left="1162" w:hanging="1162"/>
        <w:rPr>
          <w:rFonts w:cs="Arial"/>
          <w:szCs w:val="24"/>
        </w:rPr>
      </w:pPr>
    </w:p>
    <w:p w14:paraId="4993FC94" w14:textId="77777777" w:rsidR="00ED0BD0" w:rsidRPr="0088232E" w:rsidRDefault="00ED0BD0" w:rsidP="0050716E">
      <w:pPr>
        <w:tabs>
          <w:tab w:val="left" w:pos="1162"/>
        </w:tabs>
        <w:ind w:left="1162" w:hanging="1162"/>
        <w:rPr>
          <w:rFonts w:cs="Arial"/>
          <w:szCs w:val="24"/>
        </w:rPr>
      </w:pPr>
    </w:p>
    <w:p w14:paraId="4993FC95" w14:textId="77777777" w:rsidR="00ED0BD0" w:rsidRPr="0088232E" w:rsidRDefault="00ED0BD0" w:rsidP="0050716E">
      <w:pPr>
        <w:tabs>
          <w:tab w:val="left" w:pos="1162"/>
        </w:tabs>
        <w:ind w:left="1162" w:hanging="1162"/>
        <w:rPr>
          <w:rFonts w:cs="Arial"/>
          <w:szCs w:val="24"/>
        </w:rPr>
      </w:pPr>
    </w:p>
    <w:p w14:paraId="4993FC96" w14:textId="77777777" w:rsidR="00ED0BD0" w:rsidRPr="0088232E" w:rsidRDefault="00ED0BD0" w:rsidP="0050716E">
      <w:pPr>
        <w:tabs>
          <w:tab w:val="left" w:pos="1162"/>
        </w:tabs>
        <w:ind w:left="1162" w:hanging="1162"/>
        <w:rPr>
          <w:rFonts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391"/>
      </w:tblGrid>
      <w:tr w:rsidR="00B205C3" w:rsidRPr="00F7715E" w14:paraId="4993FC9C" w14:textId="77777777" w:rsidTr="00C027A6">
        <w:tc>
          <w:tcPr>
            <w:tcW w:w="2945" w:type="dxa"/>
          </w:tcPr>
          <w:p w14:paraId="4993FC9A" w14:textId="77777777" w:rsidR="00B205C3" w:rsidRPr="00F7715E" w:rsidRDefault="00B205C3" w:rsidP="004D6520">
            <w:pPr>
              <w:rPr>
                <w:rFonts w:cs="Arial"/>
                <w:szCs w:val="24"/>
              </w:rPr>
            </w:pPr>
            <w:r w:rsidRPr="00F7715E">
              <w:rPr>
                <w:rFonts w:cs="Arial"/>
                <w:szCs w:val="24"/>
              </w:rPr>
              <w:t>Version:</w:t>
            </w:r>
          </w:p>
        </w:tc>
        <w:tc>
          <w:tcPr>
            <w:tcW w:w="5391" w:type="dxa"/>
          </w:tcPr>
          <w:p w14:paraId="4993FC9B" w14:textId="137F9BD3" w:rsidR="00B205C3" w:rsidRPr="00F7715E" w:rsidRDefault="00B205C3" w:rsidP="004D6520">
            <w:pPr>
              <w:rPr>
                <w:rFonts w:cs="Arial"/>
                <w:szCs w:val="24"/>
              </w:rPr>
            </w:pPr>
            <w:r w:rsidRPr="00F7715E">
              <w:rPr>
                <w:rFonts w:cs="Arial"/>
                <w:szCs w:val="24"/>
              </w:rPr>
              <w:t>V</w:t>
            </w:r>
            <w:r w:rsidR="00546D73">
              <w:rPr>
                <w:rFonts w:cs="Arial"/>
                <w:szCs w:val="24"/>
              </w:rPr>
              <w:t>0.0</w:t>
            </w:r>
            <w:r w:rsidR="00D85A88">
              <w:rPr>
                <w:rFonts w:cs="Arial"/>
                <w:szCs w:val="24"/>
              </w:rPr>
              <w:t>2</w:t>
            </w:r>
          </w:p>
        </w:tc>
      </w:tr>
      <w:tr w:rsidR="00B205C3" w:rsidRPr="00F7715E" w14:paraId="4993FC9F" w14:textId="77777777" w:rsidTr="00C027A6">
        <w:tc>
          <w:tcPr>
            <w:tcW w:w="2945" w:type="dxa"/>
          </w:tcPr>
          <w:p w14:paraId="4993FC9D" w14:textId="77777777" w:rsidR="00B205C3" w:rsidRPr="00F7715E" w:rsidRDefault="00B205C3" w:rsidP="004D6520">
            <w:pPr>
              <w:rPr>
                <w:rFonts w:cs="Arial"/>
                <w:szCs w:val="24"/>
              </w:rPr>
            </w:pPr>
            <w:r w:rsidRPr="00F7715E">
              <w:rPr>
                <w:rFonts w:cs="Arial"/>
                <w:szCs w:val="24"/>
              </w:rPr>
              <w:t>Name of originator/ author:</w:t>
            </w:r>
          </w:p>
        </w:tc>
        <w:tc>
          <w:tcPr>
            <w:tcW w:w="5391" w:type="dxa"/>
          </w:tcPr>
          <w:p w14:paraId="4993FC9E" w14:textId="42D92958" w:rsidR="00B205C3" w:rsidRPr="00F7715E" w:rsidRDefault="00D85A88" w:rsidP="004D6520">
            <w:pPr>
              <w:rPr>
                <w:rFonts w:cs="Arial"/>
                <w:szCs w:val="24"/>
              </w:rPr>
            </w:pPr>
            <w:r>
              <w:rPr>
                <w:rFonts w:cs="Arial"/>
                <w:szCs w:val="24"/>
              </w:rPr>
              <w:t>Sarah Critchlow – Fleet Risk Reduction &amp; Driving Standards Manager</w:t>
            </w:r>
          </w:p>
        </w:tc>
      </w:tr>
    </w:tbl>
    <w:p w14:paraId="4993FCA0"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5334"/>
      </w:tblGrid>
      <w:tr w:rsidR="00B205C3" w:rsidRPr="00F7715E" w14:paraId="4993FCA2" w14:textId="77777777" w:rsidTr="00460ADD">
        <w:tc>
          <w:tcPr>
            <w:tcW w:w="8364" w:type="dxa"/>
            <w:gridSpan w:val="2"/>
            <w:tcBorders>
              <w:right w:val="single" w:sz="4" w:space="0" w:color="auto"/>
            </w:tcBorders>
            <w:shd w:val="clear" w:color="auto" w:fill="D9D9D9"/>
          </w:tcPr>
          <w:p w14:paraId="4993FCA1" w14:textId="77777777" w:rsidR="00B205C3" w:rsidRDefault="002B6944" w:rsidP="004D6520">
            <w:pPr>
              <w:rPr>
                <w:rFonts w:cs="Arial"/>
                <w:szCs w:val="24"/>
              </w:rPr>
            </w:pPr>
            <w:r>
              <w:rPr>
                <w:rFonts w:cs="Arial"/>
                <w:b/>
                <w:szCs w:val="24"/>
              </w:rPr>
              <w:t>Procedure</w:t>
            </w:r>
            <w:r w:rsidR="00B205C3">
              <w:rPr>
                <w:rFonts w:cs="Arial"/>
                <w:b/>
                <w:szCs w:val="24"/>
              </w:rPr>
              <w:t>:</w:t>
            </w:r>
          </w:p>
        </w:tc>
      </w:tr>
      <w:tr w:rsidR="00B205C3" w:rsidRPr="00F7715E" w14:paraId="4993FCA5" w14:textId="77777777" w:rsidTr="00460ADD">
        <w:tc>
          <w:tcPr>
            <w:tcW w:w="3011" w:type="dxa"/>
          </w:tcPr>
          <w:p w14:paraId="4993FCA3" w14:textId="77777777" w:rsidR="00B205C3" w:rsidRPr="00F7715E" w:rsidRDefault="00B205C3" w:rsidP="004D6520">
            <w:pPr>
              <w:rPr>
                <w:rFonts w:cs="Arial"/>
                <w:szCs w:val="24"/>
              </w:rPr>
            </w:pPr>
            <w:r w:rsidRPr="00F7715E">
              <w:rPr>
                <w:rFonts w:cs="Arial"/>
                <w:szCs w:val="24"/>
              </w:rPr>
              <w:t>Approved by:</w:t>
            </w:r>
          </w:p>
        </w:tc>
        <w:tc>
          <w:tcPr>
            <w:tcW w:w="5353" w:type="dxa"/>
            <w:tcBorders>
              <w:top w:val="single" w:sz="4" w:space="0" w:color="auto"/>
            </w:tcBorders>
          </w:tcPr>
          <w:p w14:paraId="4993FCA4" w14:textId="3C87BEFE" w:rsidR="00B205C3" w:rsidRPr="00F7715E" w:rsidRDefault="00546D73" w:rsidP="004D6520">
            <w:pPr>
              <w:rPr>
                <w:rFonts w:cs="Arial"/>
                <w:szCs w:val="24"/>
              </w:rPr>
            </w:pPr>
            <w:r>
              <w:rPr>
                <w:rFonts w:cs="Arial"/>
                <w:szCs w:val="24"/>
              </w:rPr>
              <w:t>Senior Management Group</w:t>
            </w:r>
          </w:p>
        </w:tc>
      </w:tr>
      <w:tr w:rsidR="00B205C3" w:rsidRPr="00F7715E" w14:paraId="4993FCA8" w14:textId="77777777" w:rsidTr="00460ADD">
        <w:tc>
          <w:tcPr>
            <w:tcW w:w="3011" w:type="dxa"/>
          </w:tcPr>
          <w:p w14:paraId="4993FCA6" w14:textId="77777777" w:rsidR="00B205C3" w:rsidRPr="00F7715E" w:rsidRDefault="00B205C3" w:rsidP="004D6520">
            <w:pPr>
              <w:rPr>
                <w:rFonts w:cs="Arial"/>
                <w:szCs w:val="24"/>
              </w:rPr>
            </w:pPr>
            <w:r w:rsidRPr="00F7715E">
              <w:rPr>
                <w:rFonts w:cs="Arial"/>
                <w:szCs w:val="24"/>
              </w:rPr>
              <w:t>Date approved:</w:t>
            </w:r>
          </w:p>
        </w:tc>
        <w:tc>
          <w:tcPr>
            <w:tcW w:w="5353" w:type="dxa"/>
          </w:tcPr>
          <w:p w14:paraId="4993FCA7" w14:textId="6EAF19B2" w:rsidR="00B205C3" w:rsidRPr="00F7715E" w:rsidRDefault="00B17F13" w:rsidP="004D6520">
            <w:pPr>
              <w:rPr>
                <w:rFonts w:cs="Arial"/>
                <w:szCs w:val="24"/>
              </w:rPr>
            </w:pPr>
            <w:r>
              <w:rPr>
                <w:rFonts w:cs="Arial"/>
                <w:szCs w:val="24"/>
              </w:rPr>
              <w:t>16</w:t>
            </w:r>
            <w:r w:rsidRPr="00B17F13">
              <w:rPr>
                <w:rFonts w:cs="Arial"/>
                <w:szCs w:val="24"/>
                <w:vertAlign w:val="superscript"/>
              </w:rPr>
              <w:t>th</w:t>
            </w:r>
            <w:r>
              <w:rPr>
                <w:rFonts w:cs="Arial"/>
                <w:szCs w:val="24"/>
              </w:rPr>
              <w:t xml:space="preserve"> May 2023</w:t>
            </w:r>
          </w:p>
        </w:tc>
      </w:tr>
    </w:tbl>
    <w:p w14:paraId="4993FCA9"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5396"/>
      </w:tblGrid>
      <w:tr w:rsidR="00B205C3" w:rsidRPr="00F7715E" w14:paraId="4993FCAC" w14:textId="77777777" w:rsidTr="0084141D">
        <w:tc>
          <w:tcPr>
            <w:tcW w:w="2940" w:type="dxa"/>
          </w:tcPr>
          <w:p w14:paraId="4993FCAA" w14:textId="77777777" w:rsidR="00B205C3" w:rsidRPr="00F7715E" w:rsidRDefault="00B205C3" w:rsidP="004D6520">
            <w:pPr>
              <w:rPr>
                <w:rFonts w:cs="Arial"/>
                <w:szCs w:val="24"/>
              </w:rPr>
            </w:pPr>
            <w:r w:rsidRPr="00F7715E">
              <w:rPr>
                <w:rFonts w:cs="Arial"/>
                <w:szCs w:val="24"/>
              </w:rPr>
              <w:t>Date issued:</w:t>
            </w:r>
          </w:p>
        </w:tc>
        <w:tc>
          <w:tcPr>
            <w:tcW w:w="5396" w:type="dxa"/>
          </w:tcPr>
          <w:p w14:paraId="4993FCAB" w14:textId="17EF4635" w:rsidR="00B205C3" w:rsidRPr="00F7715E" w:rsidRDefault="00D85A88" w:rsidP="004D6520">
            <w:pPr>
              <w:rPr>
                <w:rFonts w:cs="Arial"/>
                <w:szCs w:val="24"/>
              </w:rPr>
            </w:pPr>
            <w:r>
              <w:rPr>
                <w:rFonts w:cs="Arial"/>
                <w:szCs w:val="24"/>
              </w:rPr>
              <w:t>10</w:t>
            </w:r>
            <w:r w:rsidRPr="00D85A88">
              <w:rPr>
                <w:rFonts w:cs="Arial"/>
                <w:szCs w:val="24"/>
                <w:vertAlign w:val="superscript"/>
              </w:rPr>
              <w:t>th</w:t>
            </w:r>
            <w:r>
              <w:rPr>
                <w:rFonts w:cs="Arial"/>
                <w:szCs w:val="24"/>
              </w:rPr>
              <w:t xml:space="preserve"> May 2023</w:t>
            </w:r>
          </w:p>
        </w:tc>
      </w:tr>
      <w:tr w:rsidR="00B205C3" w:rsidRPr="00F7715E" w14:paraId="4993FCAF" w14:textId="77777777" w:rsidTr="0084141D">
        <w:tc>
          <w:tcPr>
            <w:tcW w:w="2940" w:type="dxa"/>
          </w:tcPr>
          <w:p w14:paraId="4993FCAD" w14:textId="77777777" w:rsidR="00B205C3" w:rsidRPr="00F7715E" w:rsidRDefault="00B205C3" w:rsidP="004D6520">
            <w:pPr>
              <w:rPr>
                <w:rFonts w:cs="Arial"/>
                <w:szCs w:val="24"/>
              </w:rPr>
            </w:pPr>
            <w:r w:rsidRPr="00F7715E">
              <w:rPr>
                <w:rFonts w:cs="Arial"/>
                <w:szCs w:val="24"/>
              </w:rPr>
              <w:t>Date next review due:</w:t>
            </w:r>
          </w:p>
        </w:tc>
        <w:tc>
          <w:tcPr>
            <w:tcW w:w="5396" w:type="dxa"/>
          </w:tcPr>
          <w:p w14:paraId="4993FCAE" w14:textId="7D25769C" w:rsidR="00B205C3" w:rsidRPr="00F7715E" w:rsidRDefault="00D85A88" w:rsidP="004D6520">
            <w:pPr>
              <w:rPr>
                <w:rFonts w:cs="Arial"/>
                <w:szCs w:val="24"/>
              </w:rPr>
            </w:pPr>
            <w:r>
              <w:rPr>
                <w:rFonts w:cs="Arial"/>
                <w:szCs w:val="24"/>
              </w:rPr>
              <w:t>10</w:t>
            </w:r>
            <w:r w:rsidRPr="00D85A88">
              <w:rPr>
                <w:rFonts w:cs="Arial"/>
                <w:szCs w:val="24"/>
                <w:vertAlign w:val="superscript"/>
              </w:rPr>
              <w:t>th</w:t>
            </w:r>
            <w:r>
              <w:rPr>
                <w:rFonts w:cs="Arial"/>
                <w:szCs w:val="24"/>
              </w:rPr>
              <w:t xml:space="preserve"> May 2026</w:t>
            </w:r>
          </w:p>
        </w:tc>
      </w:tr>
      <w:tr w:rsidR="0084141D" w:rsidRPr="00F7715E" w14:paraId="4993FCB2" w14:textId="77777777" w:rsidTr="0084141D">
        <w:tc>
          <w:tcPr>
            <w:tcW w:w="2940" w:type="dxa"/>
          </w:tcPr>
          <w:p w14:paraId="4993FCB0" w14:textId="77777777" w:rsidR="0084141D" w:rsidRPr="00F7715E" w:rsidRDefault="0084141D" w:rsidP="0084141D">
            <w:pPr>
              <w:rPr>
                <w:rFonts w:cs="Arial"/>
                <w:szCs w:val="24"/>
              </w:rPr>
            </w:pPr>
            <w:r w:rsidRPr="00F7715E">
              <w:rPr>
                <w:rFonts w:cs="Arial"/>
                <w:szCs w:val="24"/>
              </w:rPr>
              <w:t>Target audience:</w:t>
            </w:r>
          </w:p>
        </w:tc>
        <w:tc>
          <w:tcPr>
            <w:tcW w:w="5396" w:type="dxa"/>
          </w:tcPr>
          <w:p w14:paraId="4993FCB1" w14:textId="3532892B" w:rsidR="0084141D" w:rsidRPr="00F7715E" w:rsidRDefault="0084141D" w:rsidP="0084141D">
            <w:pPr>
              <w:rPr>
                <w:rFonts w:cs="Arial"/>
                <w:szCs w:val="24"/>
              </w:rPr>
            </w:pPr>
            <w:r>
              <w:rPr>
                <w:rFonts w:cs="Arial"/>
                <w:szCs w:val="24"/>
              </w:rPr>
              <w:t>All staff who drive for and on behalf of the Trust</w:t>
            </w:r>
          </w:p>
        </w:tc>
      </w:tr>
      <w:tr w:rsidR="0084141D" w:rsidRPr="00F7715E" w14:paraId="4993FCB5" w14:textId="77777777" w:rsidTr="0084141D">
        <w:tc>
          <w:tcPr>
            <w:tcW w:w="2940" w:type="dxa"/>
          </w:tcPr>
          <w:p w14:paraId="4993FCB3" w14:textId="77777777" w:rsidR="0084141D" w:rsidRPr="00F7715E" w:rsidRDefault="0084141D" w:rsidP="0084141D">
            <w:pPr>
              <w:rPr>
                <w:rFonts w:cs="Arial"/>
                <w:szCs w:val="24"/>
              </w:rPr>
            </w:pPr>
            <w:r w:rsidRPr="00F7715E">
              <w:rPr>
                <w:rFonts w:cs="Arial"/>
                <w:szCs w:val="24"/>
              </w:rPr>
              <w:t>Replaces:</w:t>
            </w:r>
          </w:p>
        </w:tc>
        <w:tc>
          <w:tcPr>
            <w:tcW w:w="5396" w:type="dxa"/>
          </w:tcPr>
          <w:p w14:paraId="4993FCB4" w14:textId="27AC0863" w:rsidR="0084141D" w:rsidRPr="00F7715E" w:rsidRDefault="00B17F13" w:rsidP="0084141D">
            <w:pPr>
              <w:rPr>
                <w:rFonts w:cs="Arial"/>
                <w:szCs w:val="24"/>
              </w:rPr>
            </w:pPr>
            <w:r>
              <w:rPr>
                <w:rFonts w:cs="Arial"/>
                <w:szCs w:val="24"/>
              </w:rPr>
              <w:t>Driving Standards Procedure dated 31</w:t>
            </w:r>
            <w:r w:rsidRPr="00B17F13">
              <w:rPr>
                <w:rFonts w:cs="Arial"/>
                <w:szCs w:val="24"/>
                <w:vertAlign w:val="superscript"/>
              </w:rPr>
              <w:t>st</w:t>
            </w:r>
            <w:r>
              <w:rPr>
                <w:rFonts w:cs="Arial"/>
                <w:szCs w:val="24"/>
              </w:rPr>
              <w:t xml:space="preserve"> July 2018</w:t>
            </w:r>
          </w:p>
        </w:tc>
      </w:tr>
    </w:tbl>
    <w:p w14:paraId="4993FCB6" w14:textId="77777777" w:rsidR="00B205C3" w:rsidRDefault="00B205C3" w:rsidP="00B205C3">
      <w:pPr>
        <w:rPr>
          <w:rFonts w:cs="Arial"/>
          <w:b/>
          <w:szCs w:val="24"/>
        </w:rPr>
      </w:pPr>
    </w:p>
    <w:p w14:paraId="4993FCB7" w14:textId="77777777" w:rsidR="00B205C3" w:rsidRPr="009A05E7" w:rsidRDefault="00B205C3" w:rsidP="00B205C3">
      <w:pPr>
        <w:rPr>
          <w:rFonts w:cs="Arial"/>
          <w:b/>
          <w:szCs w:val="24"/>
        </w:rPr>
      </w:pPr>
      <w:r w:rsidRPr="009A05E7">
        <w:rPr>
          <w:rFonts w:cs="Arial"/>
          <w:b/>
          <w:szCs w:val="24"/>
        </w:rPr>
        <w:t>Equality Analysis Record</w:t>
      </w:r>
    </w:p>
    <w:tbl>
      <w:tblPr>
        <w:tblStyle w:val="TableGrid"/>
        <w:tblW w:w="0" w:type="auto"/>
        <w:tblLook w:val="04A0" w:firstRow="1" w:lastRow="0" w:firstColumn="1" w:lastColumn="0" w:noHBand="0" w:noVBand="1"/>
      </w:tblPr>
      <w:tblGrid>
        <w:gridCol w:w="6183"/>
        <w:gridCol w:w="2119"/>
      </w:tblGrid>
      <w:tr w:rsidR="00B205C3" w14:paraId="4993FCBA" w14:textId="77777777" w:rsidTr="00460ADD">
        <w:tc>
          <w:tcPr>
            <w:tcW w:w="6204" w:type="dxa"/>
          </w:tcPr>
          <w:p w14:paraId="4993FCB8" w14:textId="77777777" w:rsidR="00B205C3" w:rsidRDefault="00B205C3" w:rsidP="004D6520">
            <w:pPr>
              <w:tabs>
                <w:tab w:val="right" w:pos="5812"/>
              </w:tabs>
            </w:pPr>
            <w:r>
              <w:t>Approved EA submitted</w:t>
            </w:r>
            <w:r>
              <w:tab/>
              <w:t>Dated:</w:t>
            </w:r>
          </w:p>
        </w:tc>
        <w:tc>
          <w:tcPr>
            <w:tcW w:w="2126" w:type="dxa"/>
          </w:tcPr>
          <w:p w14:paraId="4993FCB9" w14:textId="7C6C220C" w:rsidR="00B205C3" w:rsidRDefault="0084141D" w:rsidP="004D6520">
            <w:r>
              <w:t>02 February 2018</w:t>
            </w:r>
          </w:p>
        </w:tc>
      </w:tr>
    </w:tbl>
    <w:p w14:paraId="4993FCBB" w14:textId="40B29E4D" w:rsidR="000954BE" w:rsidRDefault="000954BE" w:rsidP="000A70D9">
      <w:pPr>
        <w:rPr>
          <w:rFonts w:cs="Arial"/>
          <w:szCs w:val="24"/>
        </w:rPr>
      </w:pPr>
    </w:p>
    <w:p w14:paraId="1F6FCB03" w14:textId="77777777" w:rsidR="000954BE" w:rsidRDefault="000954BE">
      <w:pPr>
        <w:rPr>
          <w:rFonts w:cs="Arial"/>
          <w:szCs w:val="24"/>
        </w:rPr>
      </w:pPr>
      <w:r>
        <w:rPr>
          <w:rFonts w:cs="Arial"/>
          <w:szCs w:val="24"/>
        </w:rPr>
        <w:br w:type="page"/>
      </w:r>
    </w:p>
    <w:p w14:paraId="3B6F879E" w14:textId="5C12C007" w:rsidR="000954BE" w:rsidRDefault="000954BE" w:rsidP="000A70D9">
      <w:pPr>
        <w:rPr>
          <w:rFonts w:cs="Arial"/>
          <w:szCs w:val="24"/>
        </w:rPr>
      </w:pPr>
    </w:p>
    <w:p w14:paraId="744DB0DD" w14:textId="77777777" w:rsidR="00B148C1" w:rsidRPr="0088070B" w:rsidRDefault="00B148C1" w:rsidP="00B148C1">
      <w:pPr>
        <w:tabs>
          <w:tab w:val="left" w:pos="1162"/>
        </w:tabs>
        <w:spacing w:before="240"/>
        <w:ind w:left="1162" w:hanging="1162"/>
        <w:rPr>
          <w:rFonts w:cs="Arial"/>
          <w:b/>
          <w:bCs/>
          <w:szCs w:val="24"/>
        </w:rPr>
      </w:pPr>
      <w:r w:rsidRPr="0088070B">
        <w:rPr>
          <w:rFonts w:cs="Arial"/>
          <w:b/>
          <w:bCs/>
          <w:szCs w:val="24"/>
        </w:rPr>
        <w:t>Manager Responsible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B148C1" w:rsidRPr="0088070B" w14:paraId="3C07AAE2" w14:textId="77777777" w:rsidTr="00416ADD">
        <w:trPr>
          <w:cantSplit/>
        </w:trPr>
        <w:tc>
          <w:tcPr>
            <w:tcW w:w="1526" w:type="dxa"/>
          </w:tcPr>
          <w:p w14:paraId="63870019" w14:textId="77777777" w:rsidR="00B148C1" w:rsidRPr="0088070B" w:rsidRDefault="00B148C1" w:rsidP="00416ADD">
            <w:pPr>
              <w:rPr>
                <w:rFonts w:cs="Arial"/>
                <w:szCs w:val="24"/>
              </w:rPr>
            </w:pPr>
            <w:r w:rsidRPr="0088070B">
              <w:rPr>
                <w:rFonts w:cs="Arial"/>
                <w:szCs w:val="24"/>
              </w:rPr>
              <w:t>Name:</w:t>
            </w:r>
          </w:p>
        </w:tc>
        <w:tc>
          <w:tcPr>
            <w:tcW w:w="7796" w:type="dxa"/>
          </w:tcPr>
          <w:p w14:paraId="4D1BBBFD" w14:textId="77777777" w:rsidR="00B148C1" w:rsidRPr="0088070B" w:rsidRDefault="00B148C1" w:rsidP="00416ADD">
            <w:pPr>
              <w:rPr>
                <w:rFonts w:cs="Arial"/>
                <w:szCs w:val="24"/>
              </w:rPr>
            </w:pPr>
            <w:r>
              <w:rPr>
                <w:rFonts w:cs="Arial"/>
                <w:szCs w:val="24"/>
              </w:rPr>
              <w:t>Sarah Critchlow</w:t>
            </w:r>
          </w:p>
        </w:tc>
      </w:tr>
      <w:tr w:rsidR="00B148C1" w:rsidRPr="0088070B" w14:paraId="7FECD40E" w14:textId="77777777" w:rsidTr="00416ADD">
        <w:trPr>
          <w:cantSplit/>
        </w:trPr>
        <w:tc>
          <w:tcPr>
            <w:tcW w:w="1526" w:type="dxa"/>
          </w:tcPr>
          <w:p w14:paraId="0D336F01" w14:textId="77777777" w:rsidR="00B148C1" w:rsidRPr="0088070B" w:rsidRDefault="00B148C1" w:rsidP="00416ADD">
            <w:pPr>
              <w:rPr>
                <w:rFonts w:cs="Arial"/>
                <w:szCs w:val="24"/>
              </w:rPr>
            </w:pPr>
            <w:r>
              <w:rPr>
                <w:rFonts w:cs="Arial"/>
                <w:szCs w:val="24"/>
              </w:rPr>
              <w:t xml:space="preserve">Job </w:t>
            </w:r>
            <w:r w:rsidRPr="0088070B">
              <w:rPr>
                <w:rFonts w:cs="Arial"/>
                <w:szCs w:val="24"/>
              </w:rPr>
              <w:t>Title:</w:t>
            </w:r>
          </w:p>
        </w:tc>
        <w:tc>
          <w:tcPr>
            <w:tcW w:w="7796" w:type="dxa"/>
          </w:tcPr>
          <w:p w14:paraId="0936371C" w14:textId="77777777" w:rsidR="00B148C1" w:rsidRPr="0088070B" w:rsidRDefault="00B148C1" w:rsidP="00416ADD">
            <w:pPr>
              <w:rPr>
                <w:rFonts w:cs="Arial"/>
                <w:szCs w:val="24"/>
              </w:rPr>
            </w:pPr>
            <w:r>
              <w:rPr>
                <w:rFonts w:cs="Arial"/>
                <w:szCs w:val="24"/>
              </w:rPr>
              <w:t>Fleet Risk Reduction &amp; Driving Standards Manager</w:t>
            </w:r>
          </w:p>
        </w:tc>
      </w:tr>
      <w:tr w:rsidR="00B148C1" w:rsidRPr="0088070B" w14:paraId="2C126C85" w14:textId="77777777" w:rsidTr="00416ADD">
        <w:trPr>
          <w:cantSplit/>
        </w:trPr>
        <w:tc>
          <w:tcPr>
            <w:tcW w:w="1526" w:type="dxa"/>
          </w:tcPr>
          <w:p w14:paraId="3B9027B4" w14:textId="77777777" w:rsidR="00B148C1" w:rsidRPr="0088070B" w:rsidRDefault="00B148C1" w:rsidP="00416ADD">
            <w:pPr>
              <w:rPr>
                <w:rFonts w:cs="Arial"/>
                <w:szCs w:val="24"/>
              </w:rPr>
            </w:pPr>
            <w:r w:rsidRPr="0088070B">
              <w:rPr>
                <w:rFonts w:cs="Arial"/>
                <w:szCs w:val="24"/>
              </w:rPr>
              <w:t>Directorate:</w:t>
            </w:r>
          </w:p>
        </w:tc>
        <w:tc>
          <w:tcPr>
            <w:tcW w:w="7796" w:type="dxa"/>
          </w:tcPr>
          <w:p w14:paraId="244FFFBB" w14:textId="77777777" w:rsidR="00B148C1" w:rsidRPr="0088070B" w:rsidRDefault="00B148C1" w:rsidP="00416ADD">
            <w:pPr>
              <w:rPr>
                <w:rFonts w:cs="Arial"/>
                <w:szCs w:val="24"/>
              </w:rPr>
            </w:pPr>
            <w:r>
              <w:rPr>
                <w:rFonts w:cs="Arial"/>
                <w:szCs w:val="24"/>
              </w:rPr>
              <w:t>Strategic Planning &amp; Transformation</w:t>
            </w:r>
          </w:p>
        </w:tc>
      </w:tr>
    </w:tbl>
    <w:p w14:paraId="59D9FE03" w14:textId="77777777" w:rsidR="00B148C1" w:rsidRPr="0088070B" w:rsidRDefault="00B148C1" w:rsidP="00B148C1">
      <w:pP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2838"/>
        <w:gridCol w:w="3307"/>
      </w:tblGrid>
      <w:tr w:rsidR="00B148C1" w:rsidRPr="00DE0AD7" w14:paraId="2934DFC2" w14:textId="77777777" w:rsidTr="00416ADD">
        <w:trPr>
          <w:trHeight w:val="263"/>
        </w:trPr>
        <w:tc>
          <w:tcPr>
            <w:tcW w:w="3177" w:type="dxa"/>
            <w:vAlign w:val="center"/>
          </w:tcPr>
          <w:p w14:paraId="1AF28ECF" w14:textId="77777777" w:rsidR="00B148C1" w:rsidRPr="00DE0AD7" w:rsidRDefault="00B148C1" w:rsidP="00416ADD">
            <w:pPr>
              <w:rPr>
                <w:rFonts w:cs="Arial"/>
                <w:szCs w:val="24"/>
              </w:rPr>
            </w:pPr>
            <w:r w:rsidRPr="00DE0AD7">
              <w:rPr>
                <w:rFonts w:cs="Arial"/>
                <w:szCs w:val="24"/>
              </w:rPr>
              <w:t>Committee/Working Group to approve</w:t>
            </w:r>
          </w:p>
        </w:tc>
        <w:tc>
          <w:tcPr>
            <w:tcW w:w="6145" w:type="dxa"/>
            <w:gridSpan w:val="2"/>
          </w:tcPr>
          <w:p w14:paraId="665D6D3E" w14:textId="77777777" w:rsidR="00B148C1" w:rsidRPr="00DE0AD7" w:rsidRDefault="00B148C1" w:rsidP="00416ADD">
            <w:pPr>
              <w:rPr>
                <w:rFonts w:cs="Arial"/>
                <w:szCs w:val="24"/>
              </w:rPr>
            </w:pPr>
            <w:r>
              <w:rPr>
                <w:rFonts w:cs="Arial"/>
                <w:szCs w:val="24"/>
              </w:rPr>
              <w:t>Senior Management Group</w:t>
            </w:r>
          </w:p>
        </w:tc>
      </w:tr>
      <w:tr w:rsidR="00B148C1" w:rsidRPr="00DE0AD7" w14:paraId="71157911" w14:textId="77777777" w:rsidTr="00416ADD">
        <w:trPr>
          <w:trHeight w:val="278"/>
        </w:trPr>
        <w:tc>
          <w:tcPr>
            <w:tcW w:w="3177" w:type="dxa"/>
          </w:tcPr>
          <w:p w14:paraId="6C78CF18" w14:textId="77777777" w:rsidR="00B148C1" w:rsidRPr="00DE0AD7" w:rsidRDefault="00B148C1" w:rsidP="00416ADD">
            <w:pPr>
              <w:rPr>
                <w:rFonts w:cs="Arial"/>
                <w:szCs w:val="24"/>
              </w:rPr>
            </w:pPr>
            <w:r w:rsidRPr="00DE0AD7">
              <w:rPr>
                <w:rFonts w:cs="Arial"/>
                <w:szCs w:val="24"/>
              </w:rPr>
              <w:t xml:space="preserve">Version No. </w:t>
            </w:r>
          </w:p>
        </w:tc>
        <w:tc>
          <w:tcPr>
            <w:tcW w:w="2838" w:type="dxa"/>
          </w:tcPr>
          <w:p w14:paraId="71ADBFB4" w14:textId="77777777" w:rsidR="00B148C1" w:rsidRPr="00DE0AD7" w:rsidRDefault="00B148C1" w:rsidP="00416ADD">
            <w:pPr>
              <w:rPr>
                <w:rFonts w:cs="Arial"/>
                <w:szCs w:val="24"/>
              </w:rPr>
            </w:pPr>
            <w:r>
              <w:rPr>
                <w:rFonts w:cs="Arial"/>
                <w:szCs w:val="24"/>
              </w:rPr>
              <w:t>Final</w:t>
            </w:r>
          </w:p>
        </w:tc>
        <w:tc>
          <w:tcPr>
            <w:tcW w:w="3307" w:type="dxa"/>
          </w:tcPr>
          <w:p w14:paraId="31A0637D" w14:textId="77777777" w:rsidR="00B148C1" w:rsidRPr="00DE0AD7" w:rsidRDefault="00B148C1" w:rsidP="00416ADD">
            <w:pPr>
              <w:rPr>
                <w:rFonts w:cs="Arial"/>
                <w:szCs w:val="24"/>
              </w:rPr>
            </w:pPr>
            <w:r w:rsidRPr="00DE0AD7">
              <w:rPr>
                <w:rFonts w:cs="Arial"/>
                <w:szCs w:val="24"/>
              </w:rPr>
              <w:t xml:space="preserve">Date: </w:t>
            </w:r>
            <w:r>
              <w:rPr>
                <w:rFonts w:cs="Arial"/>
                <w:szCs w:val="24"/>
              </w:rPr>
              <w:t>16.5.2023</w:t>
            </w:r>
          </w:p>
        </w:tc>
      </w:tr>
    </w:tbl>
    <w:p w14:paraId="5FD26607" w14:textId="77777777" w:rsidR="00B148C1" w:rsidRPr="00ED0BD0" w:rsidRDefault="00B148C1" w:rsidP="00B148C1">
      <w:pPr>
        <w:spacing w:before="240"/>
        <w:rPr>
          <w:rFonts w:cs="Arial"/>
          <w:b/>
          <w:bCs/>
          <w:szCs w:val="24"/>
        </w:rPr>
      </w:pPr>
      <w:r w:rsidRPr="00ED0BD0">
        <w:rPr>
          <w:rFonts w:cs="Arial"/>
          <w:b/>
          <w:bCs/>
          <w:szCs w:val="24"/>
        </w:rPr>
        <w:t>Draft/Evaluation/Approval (Insert stage of process)</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583"/>
        <w:gridCol w:w="1030"/>
        <w:gridCol w:w="1474"/>
      </w:tblGrid>
      <w:tr w:rsidR="00B148C1" w:rsidRPr="0088070B" w14:paraId="0EA341B3" w14:textId="77777777" w:rsidTr="00416ADD">
        <w:tc>
          <w:tcPr>
            <w:tcW w:w="3188" w:type="dxa"/>
            <w:shd w:val="clear" w:color="auto" w:fill="C6D9F1" w:themeFill="text2" w:themeFillTint="33"/>
          </w:tcPr>
          <w:p w14:paraId="25A10744" w14:textId="77777777" w:rsidR="00B148C1" w:rsidRPr="0088070B" w:rsidRDefault="00B148C1" w:rsidP="00416ADD">
            <w:pPr>
              <w:rPr>
                <w:rFonts w:cs="Arial"/>
                <w:szCs w:val="24"/>
              </w:rPr>
            </w:pPr>
            <w:r w:rsidRPr="0088070B">
              <w:rPr>
                <w:rFonts w:cs="Arial"/>
                <w:szCs w:val="24"/>
              </w:rPr>
              <w:t>Person/Committee</w:t>
            </w:r>
          </w:p>
        </w:tc>
        <w:tc>
          <w:tcPr>
            <w:tcW w:w="3583" w:type="dxa"/>
            <w:shd w:val="clear" w:color="auto" w:fill="C6D9F1" w:themeFill="text2" w:themeFillTint="33"/>
          </w:tcPr>
          <w:p w14:paraId="2DA084AF" w14:textId="77777777" w:rsidR="00B148C1" w:rsidRPr="0088070B" w:rsidRDefault="00B148C1" w:rsidP="00416ADD">
            <w:pPr>
              <w:rPr>
                <w:rFonts w:cs="Arial"/>
                <w:szCs w:val="24"/>
              </w:rPr>
            </w:pPr>
            <w:r>
              <w:rPr>
                <w:rFonts w:cs="Arial"/>
                <w:szCs w:val="24"/>
              </w:rPr>
              <w:t>Comments</w:t>
            </w:r>
          </w:p>
        </w:tc>
        <w:tc>
          <w:tcPr>
            <w:tcW w:w="1030" w:type="dxa"/>
            <w:shd w:val="clear" w:color="auto" w:fill="C6D9F1" w:themeFill="text2" w:themeFillTint="33"/>
          </w:tcPr>
          <w:p w14:paraId="020F0445" w14:textId="77777777" w:rsidR="00B148C1" w:rsidRPr="0088070B" w:rsidRDefault="00B148C1" w:rsidP="00416ADD">
            <w:pPr>
              <w:rPr>
                <w:rFonts w:cs="Arial"/>
                <w:szCs w:val="24"/>
              </w:rPr>
            </w:pPr>
            <w:r>
              <w:rPr>
                <w:rFonts w:cs="Arial"/>
                <w:szCs w:val="24"/>
              </w:rPr>
              <w:t>Version</w:t>
            </w:r>
          </w:p>
        </w:tc>
        <w:tc>
          <w:tcPr>
            <w:tcW w:w="1474" w:type="dxa"/>
            <w:shd w:val="clear" w:color="auto" w:fill="C6D9F1" w:themeFill="text2" w:themeFillTint="33"/>
          </w:tcPr>
          <w:p w14:paraId="1523849D" w14:textId="77777777" w:rsidR="00B148C1" w:rsidRPr="0088070B" w:rsidRDefault="00B148C1" w:rsidP="00416ADD">
            <w:pPr>
              <w:rPr>
                <w:rFonts w:cs="Arial"/>
                <w:szCs w:val="24"/>
              </w:rPr>
            </w:pPr>
            <w:r w:rsidRPr="0088070B">
              <w:rPr>
                <w:rFonts w:cs="Arial"/>
                <w:szCs w:val="24"/>
              </w:rPr>
              <w:t>Date</w:t>
            </w:r>
          </w:p>
        </w:tc>
      </w:tr>
      <w:tr w:rsidR="00B148C1" w:rsidRPr="0088070B" w14:paraId="79C5669C" w14:textId="77777777" w:rsidTr="00416ADD">
        <w:tc>
          <w:tcPr>
            <w:tcW w:w="3188" w:type="dxa"/>
          </w:tcPr>
          <w:p w14:paraId="281C1F29" w14:textId="77777777" w:rsidR="00B148C1" w:rsidRPr="0088070B" w:rsidRDefault="00B148C1" w:rsidP="00416ADD">
            <w:pPr>
              <w:rPr>
                <w:rFonts w:cs="Arial"/>
                <w:szCs w:val="24"/>
              </w:rPr>
            </w:pPr>
            <w:r>
              <w:rPr>
                <w:rFonts w:cs="Arial"/>
                <w:szCs w:val="24"/>
              </w:rPr>
              <w:t>Senior Management Group</w:t>
            </w:r>
          </w:p>
        </w:tc>
        <w:tc>
          <w:tcPr>
            <w:tcW w:w="3583" w:type="dxa"/>
          </w:tcPr>
          <w:p w14:paraId="59E42509" w14:textId="77777777" w:rsidR="00B148C1" w:rsidRPr="0088070B" w:rsidRDefault="00B148C1" w:rsidP="00416ADD">
            <w:pPr>
              <w:rPr>
                <w:rFonts w:cs="Arial"/>
                <w:szCs w:val="24"/>
              </w:rPr>
            </w:pPr>
            <w:r>
              <w:rPr>
                <w:rFonts w:cs="Arial"/>
                <w:szCs w:val="24"/>
              </w:rPr>
              <w:t>Approved</w:t>
            </w:r>
          </w:p>
        </w:tc>
        <w:tc>
          <w:tcPr>
            <w:tcW w:w="1030" w:type="dxa"/>
          </w:tcPr>
          <w:p w14:paraId="206DAC81" w14:textId="77777777" w:rsidR="00B148C1" w:rsidRPr="0088070B" w:rsidRDefault="00B148C1" w:rsidP="00416ADD">
            <w:pPr>
              <w:rPr>
                <w:rFonts w:cs="Arial"/>
                <w:szCs w:val="24"/>
              </w:rPr>
            </w:pPr>
            <w:r>
              <w:rPr>
                <w:rFonts w:cs="Arial"/>
                <w:szCs w:val="24"/>
              </w:rPr>
              <w:t>V0.2</w:t>
            </w:r>
          </w:p>
        </w:tc>
        <w:tc>
          <w:tcPr>
            <w:tcW w:w="1474" w:type="dxa"/>
          </w:tcPr>
          <w:p w14:paraId="2A7F895C" w14:textId="77777777" w:rsidR="00B148C1" w:rsidRPr="0088070B" w:rsidRDefault="00B148C1" w:rsidP="00416ADD">
            <w:pPr>
              <w:rPr>
                <w:rFonts w:cs="Arial"/>
                <w:szCs w:val="24"/>
              </w:rPr>
            </w:pPr>
            <w:r>
              <w:rPr>
                <w:rFonts w:cs="Arial"/>
                <w:szCs w:val="24"/>
              </w:rPr>
              <w:t>16.5.2023</w:t>
            </w:r>
          </w:p>
        </w:tc>
      </w:tr>
      <w:tr w:rsidR="00B148C1" w:rsidRPr="0088070B" w14:paraId="396EEF17" w14:textId="77777777" w:rsidTr="00416ADD">
        <w:tc>
          <w:tcPr>
            <w:tcW w:w="3188" w:type="dxa"/>
          </w:tcPr>
          <w:p w14:paraId="24FE66DC" w14:textId="77777777" w:rsidR="00B148C1" w:rsidRPr="0088070B" w:rsidRDefault="00B148C1" w:rsidP="00416ADD">
            <w:pPr>
              <w:rPr>
                <w:rFonts w:cs="Arial"/>
                <w:szCs w:val="24"/>
              </w:rPr>
            </w:pPr>
            <w:r>
              <w:rPr>
                <w:rFonts w:cs="Arial"/>
                <w:szCs w:val="24"/>
              </w:rPr>
              <w:t>Driver Safety Forum</w:t>
            </w:r>
          </w:p>
        </w:tc>
        <w:tc>
          <w:tcPr>
            <w:tcW w:w="3583" w:type="dxa"/>
          </w:tcPr>
          <w:p w14:paraId="4EBCC6E2" w14:textId="77777777" w:rsidR="00B148C1" w:rsidRPr="0088070B" w:rsidRDefault="00B148C1" w:rsidP="00416ADD">
            <w:pPr>
              <w:rPr>
                <w:rFonts w:cs="Arial"/>
                <w:szCs w:val="24"/>
              </w:rPr>
            </w:pPr>
            <w:r>
              <w:rPr>
                <w:rFonts w:cs="Arial"/>
                <w:szCs w:val="24"/>
              </w:rPr>
              <w:t>For approval</w:t>
            </w:r>
          </w:p>
        </w:tc>
        <w:tc>
          <w:tcPr>
            <w:tcW w:w="1030" w:type="dxa"/>
          </w:tcPr>
          <w:p w14:paraId="3B26B873" w14:textId="77777777" w:rsidR="00B148C1" w:rsidRPr="0088070B" w:rsidRDefault="00B148C1" w:rsidP="00416ADD">
            <w:pPr>
              <w:rPr>
                <w:rFonts w:cs="Arial"/>
                <w:szCs w:val="24"/>
              </w:rPr>
            </w:pPr>
            <w:r>
              <w:rPr>
                <w:rFonts w:cs="Arial"/>
                <w:szCs w:val="24"/>
              </w:rPr>
              <w:t>V0.2</w:t>
            </w:r>
          </w:p>
        </w:tc>
        <w:tc>
          <w:tcPr>
            <w:tcW w:w="1474" w:type="dxa"/>
          </w:tcPr>
          <w:p w14:paraId="577EE047" w14:textId="77777777" w:rsidR="00B148C1" w:rsidRPr="0088070B" w:rsidRDefault="00B148C1" w:rsidP="00416ADD">
            <w:pPr>
              <w:rPr>
                <w:rFonts w:cs="Arial"/>
                <w:szCs w:val="24"/>
              </w:rPr>
            </w:pPr>
            <w:r>
              <w:rPr>
                <w:rFonts w:cs="Arial"/>
                <w:szCs w:val="24"/>
              </w:rPr>
              <w:t>10/5/2023</w:t>
            </w:r>
          </w:p>
        </w:tc>
      </w:tr>
    </w:tbl>
    <w:p w14:paraId="6FD72363" w14:textId="77777777" w:rsidR="00B148C1" w:rsidRPr="0088070B" w:rsidRDefault="00B148C1" w:rsidP="00B148C1">
      <w:pPr>
        <w:spacing w:before="240"/>
        <w:rPr>
          <w:rFonts w:cs="Arial"/>
          <w:b/>
          <w:bCs/>
          <w:szCs w:val="24"/>
        </w:rPr>
      </w:pPr>
      <w:r w:rsidRPr="0088070B">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3919"/>
      </w:tblGrid>
      <w:tr w:rsidR="00B148C1" w:rsidRPr="0088070B" w14:paraId="5CAD32AC" w14:textId="77777777" w:rsidTr="00416ADD">
        <w:trPr>
          <w:trHeight w:val="283"/>
        </w:trPr>
        <w:tc>
          <w:tcPr>
            <w:tcW w:w="5403" w:type="dxa"/>
          </w:tcPr>
          <w:p w14:paraId="2B758B98" w14:textId="77777777" w:rsidR="00B148C1" w:rsidRPr="0088070B" w:rsidRDefault="00B148C1" w:rsidP="00416ADD">
            <w:pPr>
              <w:rPr>
                <w:rFonts w:cs="Arial"/>
                <w:szCs w:val="24"/>
              </w:rPr>
            </w:pPr>
            <w:r w:rsidRPr="0088070B">
              <w:rPr>
                <w:rFonts w:cs="Arial"/>
                <w:szCs w:val="24"/>
              </w:rPr>
              <w:t>Records Management Database</w:t>
            </w:r>
          </w:p>
        </w:tc>
        <w:tc>
          <w:tcPr>
            <w:tcW w:w="3919" w:type="dxa"/>
          </w:tcPr>
          <w:p w14:paraId="57791F28" w14:textId="77777777" w:rsidR="00B148C1" w:rsidRPr="0088070B" w:rsidRDefault="00B148C1" w:rsidP="00416ADD">
            <w:pPr>
              <w:rPr>
                <w:rFonts w:cs="Arial"/>
                <w:szCs w:val="24"/>
              </w:rPr>
            </w:pPr>
            <w:r w:rsidRPr="0088070B">
              <w:rPr>
                <w:rFonts w:cs="Arial"/>
                <w:szCs w:val="24"/>
              </w:rPr>
              <w:t>Date:</w:t>
            </w:r>
            <w:r>
              <w:rPr>
                <w:rFonts w:cs="Arial"/>
                <w:szCs w:val="24"/>
              </w:rPr>
              <w:t xml:space="preserve"> </w:t>
            </w:r>
          </w:p>
        </w:tc>
      </w:tr>
      <w:tr w:rsidR="00B148C1" w:rsidRPr="0088070B" w14:paraId="67F36B84" w14:textId="77777777" w:rsidTr="00416ADD">
        <w:trPr>
          <w:trHeight w:val="283"/>
        </w:trPr>
        <w:tc>
          <w:tcPr>
            <w:tcW w:w="5403" w:type="dxa"/>
          </w:tcPr>
          <w:p w14:paraId="7B7DD4F6" w14:textId="77777777" w:rsidR="00B148C1" w:rsidRPr="0088070B" w:rsidRDefault="00B148C1" w:rsidP="00416ADD">
            <w:pPr>
              <w:rPr>
                <w:rFonts w:cs="Arial"/>
                <w:szCs w:val="24"/>
              </w:rPr>
            </w:pPr>
            <w:r w:rsidRPr="0088070B">
              <w:rPr>
                <w:rFonts w:cs="Arial"/>
                <w:szCs w:val="24"/>
              </w:rPr>
              <w:t>Internal Stakeholders</w:t>
            </w:r>
          </w:p>
        </w:tc>
        <w:tc>
          <w:tcPr>
            <w:tcW w:w="3919" w:type="dxa"/>
          </w:tcPr>
          <w:p w14:paraId="255FD176" w14:textId="33A1AF9C" w:rsidR="00B148C1" w:rsidRPr="0088070B" w:rsidRDefault="00460ADD" w:rsidP="00416ADD">
            <w:pPr>
              <w:rPr>
                <w:rFonts w:cs="Arial"/>
                <w:szCs w:val="24"/>
              </w:rPr>
            </w:pPr>
            <w:r>
              <w:rPr>
                <w:rFonts w:cs="Arial"/>
                <w:szCs w:val="24"/>
              </w:rPr>
              <w:t>25/5/2023</w:t>
            </w:r>
          </w:p>
        </w:tc>
      </w:tr>
      <w:tr w:rsidR="00B148C1" w:rsidRPr="0088070B" w14:paraId="5188548F" w14:textId="77777777" w:rsidTr="00416ADD">
        <w:trPr>
          <w:trHeight w:val="283"/>
        </w:trPr>
        <w:tc>
          <w:tcPr>
            <w:tcW w:w="5403" w:type="dxa"/>
          </w:tcPr>
          <w:p w14:paraId="00708405" w14:textId="77777777" w:rsidR="00B148C1" w:rsidRPr="0088070B" w:rsidRDefault="00B148C1" w:rsidP="00416ADD">
            <w:pPr>
              <w:rPr>
                <w:rFonts w:cs="Arial"/>
                <w:szCs w:val="24"/>
              </w:rPr>
            </w:pPr>
            <w:r w:rsidRPr="0088070B">
              <w:rPr>
                <w:rFonts w:cs="Arial"/>
                <w:szCs w:val="24"/>
              </w:rPr>
              <w:t>External Stakeholders</w:t>
            </w:r>
          </w:p>
        </w:tc>
        <w:tc>
          <w:tcPr>
            <w:tcW w:w="3919" w:type="dxa"/>
          </w:tcPr>
          <w:p w14:paraId="778557DB" w14:textId="77777777" w:rsidR="00B148C1" w:rsidRPr="0088070B" w:rsidRDefault="00B148C1" w:rsidP="00416ADD">
            <w:pPr>
              <w:rPr>
                <w:rFonts w:cs="Arial"/>
                <w:szCs w:val="24"/>
              </w:rPr>
            </w:pPr>
          </w:p>
        </w:tc>
      </w:tr>
    </w:tbl>
    <w:p w14:paraId="7620DBD2" w14:textId="77777777" w:rsidR="00B148C1" w:rsidRPr="0088070B" w:rsidRDefault="00B148C1" w:rsidP="00B148C1">
      <w:pPr>
        <w:spacing w:before="240"/>
        <w:rPr>
          <w:rFonts w:cs="Arial"/>
          <w:b/>
          <w:bCs/>
          <w:szCs w:val="24"/>
        </w:rPr>
      </w:pPr>
      <w:r w:rsidRPr="0088070B">
        <w:rPr>
          <w:rFonts w:cs="Arial"/>
          <w:b/>
          <w:bCs/>
          <w:szCs w:val="24"/>
        </w:rPr>
        <w:t>Review Due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3877"/>
        <w:gridCol w:w="3853"/>
      </w:tblGrid>
      <w:tr w:rsidR="00B148C1" w:rsidRPr="00DE0AD7" w14:paraId="755011EF" w14:textId="77777777" w:rsidTr="00416ADD">
        <w:tc>
          <w:tcPr>
            <w:tcW w:w="1592" w:type="dxa"/>
          </w:tcPr>
          <w:p w14:paraId="659DFA60" w14:textId="77777777" w:rsidR="00B148C1" w:rsidRPr="00DE0AD7" w:rsidRDefault="00B148C1" w:rsidP="00416ADD">
            <w:pPr>
              <w:rPr>
                <w:rFonts w:cs="Arial"/>
                <w:szCs w:val="24"/>
              </w:rPr>
            </w:pPr>
            <w:r w:rsidRPr="00DE0AD7">
              <w:rPr>
                <w:rFonts w:cs="Arial"/>
                <w:szCs w:val="24"/>
              </w:rPr>
              <w:t>Manager</w:t>
            </w:r>
          </w:p>
        </w:tc>
        <w:tc>
          <w:tcPr>
            <w:tcW w:w="7730" w:type="dxa"/>
            <w:gridSpan w:val="2"/>
          </w:tcPr>
          <w:p w14:paraId="789B3513" w14:textId="77777777" w:rsidR="00B148C1" w:rsidRPr="00DE0AD7" w:rsidRDefault="00B148C1" w:rsidP="00416ADD">
            <w:pPr>
              <w:rPr>
                <w:rFonts w:cs="Arial"/>
                <w:szCs w:val="24"/>
              </w:rPr>
            </w:pPr>
          </w:p>
        </w:tc>
      </w:tr>
      <w:tr w:rsidR="00B148C1" w:rsidRPr="00DE0AD7" w14:paraId="1C7DD2D2" w14:textId="77777777" w:rsidTr="00416ADD">
        <w:tc>
          <w:tcPr>
            <w:tcW w:w="1592" w:type="dxa"/>
          </w:tcPr>
          <w:p w14:paraId="1BCCFDBB" w14:textId="77777777" w:rsidR="00B148C1" w:rsidRPr="00DE0AD7" w:rsidRDefault="00B148C1" w:rsidP="00416ADD">
            <w:pPr>
              <w:rPr>
                <w:rFonts w:cs="Arial"/>
                <w:szCs w:val="24"/>
              </w:rPr>
            </w:pPr>
            <w:r w:rsidRPr="00DE0AD7">
              <w:rPr>
                <w:rFonts w:cs="Arial"/>
                <w:szCs w:val="24"/>
              </w:rPr>
              <w:t>Period</w:t>
            </w:r>
          </w:p>
        </w:tc>
        <w:tc>
          <w:tcPr>
            <w:tcW w:w="3877" w:type="dxa"/>
          </w:tcPr>
          <w:p w14:paraId="222EA4CF" w14:textId="77777777" w:rsidR="00B148C1" w:rsidRPr="00CA4E97" w:rsidRDefault="00B148C1" w:rsidP="00416ADD">
            <w:pPr>
              <w:rPr>
                <w:rFonts w:cs="Arial"/>
                <w:szCs w:val="24"/>
              </w:rPr>
            </w:pPr>
            <w:r w:rsidRPr="00CA4E97">
              <w:rPr>
                <w:rFonts w:cs="Arial"/>
                <w:szCs w:val="24"/>
              </w:rPr>
              <w:t xml:space="preserve">Every three years </w:t>
            </w:r>
            <w:r w:rsidRPr="0050716E">
              <w:rPr>
                <w:szCs w:val="24"/>
              </w:rPr>
              <w:t>or sooner if new legislation, codes of practice or national standards are introduced</w:t>
            </w:r>
          </w:p>
        </w:tc>
        <w:tc>
          <w:tcPr>
            <w:tcW w:w="3853" w:type="dxa"/>
          </w:tcPr>
          <w:p w14:paraId="727563AD" w14:textId="77777777" w:rsidR="00B148C1" w:rsidRPr="00DE0AD7" w:rsidRDefault="00B148C1" w:rsidP="00416ADD">
            <w:pPr>
              <w:rPr>
                <w:rFonts w:cs="Arial"/>
                <w:szCs w:val="24"/>
              </w:rPr>
            </w:pPr>
            <w:r w:rsidRPr="00DE0AD7">
              <w:rPr>
                <w:rFonts w:cs="Arial"/>
                <w:szCs w:val="24"/>
              </w:rPr>
              <w:t>Date:</w:t>
            </w:r>
            <w:r>
              <w:rPr>
                <w:rFonts w:cs="Arial"/>
                <w:szCs w:val="24"/>
              </w:rPr>
              <w:t>10/5/2026</w:t>
            </w:r>
          </w:p>
        </w:tc>
      </w:tr>
    </w:tbl>
    <w:p w14:paraId="220D7637" w14:textId="77777777" w:rsidR="00B148C1" w:rsidRPr="0088070B" w:rsidRDefault="00B148C1" w:rsidP="00B148C1">
      <w:pPr>
        <w:spacing w:before="240"/>
        <w:rPr>
          <w:rFonts w:cs="Arial"/>
          <w:b/>
          <w:bCs/>
          <w:szCs w:val="24"/>
        </w:rPr>
      </w:pPr>
      <w:r w:rsidRPr="0088070B">
        <w:rPr>
          <w:rFonts w:cs="Arial"/>
          <w:b/>
          <w:bCs/>
          <w:szCs w:val="24"/>
        </w:rPr>
        <w:t>Record Information</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6093"/>
      </w:tblGrid>
      <w:tr w:rsidR="00B148C1" w:rsidRPr="0088070B" w14:paraId="58C789B8" w14:textId="77777777" w:rsidTr="00460ADD">
        <w:tc>
          <w:tcPr>
            <w:tcW w:w="3230" w:type="dxa"/>
          </w:tcPr>
          <w:p w14:paraId="797CF119" w14:textId="77777777" w:rsidR="00B148C1" w:rsidRPr="0088070B" w:rsidRDefault="00B148C1" w:rsidP="00416ADD">
            <w:pPr>
              <w:rPr>
                <w:rFonts w:cs="Arial"/>
                <w:szCs w:val="24"/>
              </w:rPr>
            </w:pPr>
            <w:r w:rsidRPr="0088070B">
              <w:rPr>
                <w:rFonts w:cs="Arial"/>
                <w:szCs w:val="24"/>
              </w:rPr>
              <w:t>Security Access/Sensitivity</w:t>
            </w:r>
          </w:p>
        </w:tc>
        <w:tc>
          <w:tcPr>
            <w:tcW w:w="6092" w:type="dxa"/>
          </w:tcPr>
          <w:p w14:paraId="493A331C" w14:textId="77777777" w:rsidR="00B148C1" w:rsidRPr="0088070B" w:rsidRDefault="00B148C1" w:rsidP="00416ADD">
            <w:pPr>
              <w:rPr>
                <w:rFonts w:cs="Arial"/>
                <w:szCs w:val="24"/>
              </w:rPr>
            </w:pPr>
            <w:r>
              <w:rPr>
                <w:rFonts w:cs="Arial"/>
                <w:szCs w:val="24"/>
              </w:rPr>
              <w:t>[e.g.: Official (Public Domain) or Official – Sensitive]</w:t>
            </w:r>
          </w:p>
        </w:tc>
      </w:tr>
      <w:tr w:rsidR="00B148C1" w:rsidRPr="0088070B" w14:paraId="336F9997" w14:textId="77777777" w:rsidTr="00460ADD">
        <w:tc>
          <w:tcPr>
            <w:tcW w:w="3230" w:type="dxa"/>
          </w:tcPr>
          <w:p w14:paraId="79FB3BCB" w14:textId="77777777" w:rsidR="00B148C1" w:rsidRPr="0088070B" w:rsidRDefault="00B148C1" w:rsidP="00416ADD">
            <w:pPr>
              <w:rPr>
                <w:rFonts w:cs="Arial"/>
                <w:szCs w:val="24"/>
              </w:rPr>
            </w:pPr>
            <w:r w:rsidRPr="0088070B">
              <w:rPr>
                <w:rFonts w:cs="Arial"/>
                <w:szCs w:val="24"/>
              </w:rPr>
              <w:t>Publication Scheme</w:t>
            </w:r>
          </w:p>
        </w:tc>
        <w:tc>
          <w:tcPr>
            <w:tcW w:w="6092" w:type="dxa"/>
          </w:tcPr>
          <w:p w14:paraId="3631E6CA" w14:textId="77777777" w:rsidR="00B148C1" w:rsidRPr="0088070B" w:rsidRDefault="00B148C1" w:rsidP="00416ADD">
            <w:pPr>
              <w:rPr>
                <w:rFonts w:cs="Arial"/>
                <w:szCs w:val="24"/>
              </w:rPr>
            </w:pPr>
            <w:r>
              <w:rPr>
                <w:rFonts w:cs="Arial"/>
                <w:szCs w:val="24"/>
              </w:rPr>
              <w:t xml:space="preserve">Yes / No </w:t>
            </w:r>
          </w:p>
        </w:tc>
      </w:tr>
      <w:tr w:rsidR="00B148C1" w:rsidRPr="0088070B" w14:paraId="28911097" w14:textId="77777777" w:rsidTr="00460ADD">
        <w:tc>
          <w:tcPr>
            <w:tcW w:w="3230" w:type="dxa"/>
          </w:tcPr>
          <w:p w14:paraId="5B641743" w14:textId="77777777" w:rsidR="00B148C1" w:rsidRPr="0088070B" w:rsidRDefault="00B148C1" w:rsidP="00416ADD">
            <w:pPr>
              <w:rPr>
                <w:rFonts w:cs="Arial"/>
                <w:szCs w:val="24"/>
              </w:rPr>
            </w:pPr>
            <w:r w:rsidRPr="0088070B">
              <w:rPr>
                <w:rFonts w:cs="Arial"/>
                <w:szCs w:val="24"/>
              </w:rPr>
              <w:t>Where Held</w:t>
            </w:r>
          </w:p>
        </w:tc>
        <w:tc>
          <w:tcPr>
            <w:tcW w:w="6092" w:type="dxa"/>
          </w:tcPr>
          <w:p w14:paraId="29DD4447" w14:textId="77777777" w:rsidR="00B148C1" w:rsidRPr="0088070B" w:rsidRDefault="00B148C1" w:rsidP="00416ADD">
            <w:pPr>
              <w:rPr>
                <w:rFonts w:cs="Arial"/>
                <w:szCs w:val="24"/>
              </w:rPr>
            </w:pPr>
            <w:r>
              <w:rPr>
                <w:rFonts w:cs="Arial"/>
                <w:szCs w:val="24"/>
              </w:rPr>
              <w:t>Records Management database</w:t>
            </w:r>
          </w:p>
        </w:tc>
      </w:tr>
      <w:tr w:rsidR="00B148C1" w:rsidRPr="0088070B" w14:paraId="61D99A58" w14:textId="77777777" w:rsidTr="00460ADD">
        <w:tc>
          <w:tcPr>
            <w:tcW w:w="3230" w:type="dxa"/>
          </w:tcPr>
          <w:p w14:paraId="60363E8E" w14:textId="77777777" w:rsidR="00B148C1" w:rsidRPr="0088070B" w:rsidRDefault="00B148C1" w:rsidP="00416ADD">
            <w:pPr>
              <w:rPr>
                <w:rFonts w:cs="Arial"/>
                <w:szCs w:val="24"/>
              </w:rPr>
            </w:pPr>
            <w:r>
              <w:rPr>
                <w:rFonts w:cs="Arial"/>
                <w:szCs w:val="24"/>
              </w:rPr>
              <w:t>Disposal Method and date:</w:t>
            </w:r>
          </w:p>
        </w:tc>
        <w:tc>
          <w:tcPr>
            <w:tcW w:w="6092" w:type="dxa"/>
          </w:tcPr>
          <w:p w14:paraId="1C0AB54A" w14:textId="77777777" w:rsidR="00B148C1" w:rsidRPr="0088070B" w:rsidRDefault="00B148C1" w:rsidP="00416ADD">
            <w:pPr>
              <w:rPr>
                <w:rFonts w:cs="Arial"/>
                <w:szCs w:val="24"/>
              </w:rPr>
            </w:pPr>
          </w:p>
        </w:tc>
      </w:tr>
    </w:tbl>
    <w:tbl>
      <w:tblPr>
        <w:tblpPr w:leftFromText="180" w:rightFromText="180" w:vertAnchor="text" w:horzAnchor="margin" w:tblpY="617"/>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3679"/>
        <w:gridCol w:w="2127"/>
        <w:gridCol w:w="1701"/>
      </w:tblGrid>
      <w:tr w:rsidR="00460ADD" w:rsidRPr="00DE0AD7" w14:paraId="480EEC5A" w14:textId="77777777" w:rsidTr="00460ADD">
        <w:tc>
          <w:tcPr>
            <w:tcW w:w="1816" w:type="dxa"/>
          </w:tcPr>
          <w:p w14:paraId="6A9BC316" w14:textId="77777777" w:rsidR="00460ADD" w:rsidRPr="00DE0AD7" w:rsidRDefault="00460ADD" w:rsidP="00460ADD">
            <w:pPr>
              <w:rPr>
                <w:rFonts w:cs="Arial"/>
                <w:b/>
                <w:szCs w:val="24"/>
              </w:rPr>
            </w:pPr>
          </w:p>
        </w:tc>
        <w:tc>
          <w:tcPr>
            <w:tcW w:w="3679" w:type="dxa"/>
          </w:tcPr>
          <w:p w14:paraId="7498000D" w14:textId="77777777" w:rsidR="00460ADD" w:rsidRPr="00DE0AD7" w:rsidRDefault="00460ADD" w:rsidP="00460ADD">
            <w:pPr>
              <w:rPr>
                <w:rFonts w:cs="Arial"/>
                <w:b/>
                <w:szCs w:val="24"/>
              </w:rPr>
            </w:pPr>
            <w:r>
              <w:rPr>
                <w:rFonts w:cs="Arial"/>
                <w:b/>
                <w:szCs w:val="24"/>
              </w:rPr>
              <w:t>Care Quality Commission (CQC)</w:t>
            </w:r>
          </w:p>
        </w:tc>
        <w:tc>
          <w:tcPr>
            <w:tcW w:w="2127" w:type="dxa"/>
          </w:tcPr>
          <w:p w14:paraId="0646E37E" w14:textId="77777777" w:rsidR="00460ADD" w:rsidRPr="00DE0AD7" w:rsidRDefault="00460ADD" w:rsidP="00460ADD">
            <w:pPr>
              <w:rPr>
                <w:rFonts w:cs="Arial"/>
                <w:b/>
                <w:szCs w:val="24"/>
              </w:rPr>
            </w:pPr>
            <w:r w:rsidRPr="00DE0AD7">
              <w:rPr>
                <w:rFonts w:cs="Arial"/>
                <w:b/>
                <w:szCs w:val="24"/>
              </w:rPr>
              <w:t>IG Toolkit</w:t>
            </w:r>
          </w:p>
        </w:tc>
        <w:tc>
          <w:tcPr>
            <w:tcW w:w="1701" w:type="dxa"/>
          </w:tcPr>
          <w:p w14:paraId="68921A7C" w14:textId="77777777" w:rsidR="00460ADD" w:rsidRPr="00DE0AD7" w:rsidRDefault="00460ADD" w:rsidP="00460ADD">
            <w:pPr>
              <w:rPr>
                <w:rFonts w:cs="Arial"/>
                <w:b/>
                <w:szCs w:val="24"/>
              </w:rPr>
            </w:pPr>
            <w:r w:rsidRPr="00DE0AD7">
              <w:rPr>
                <w:rFonts w:cs="Arial"/>
                <w:b/>
                <w:szCs w:val="24"/>
              </w:rPr>
              <w:t>Other</w:t>
            </w:r>
          </w:p>
        </w:tc>
      </w:tr>
      <w:tr w:rsidR="00460ADD" w:rsidRPr="00DE0AD7" w14:paraId="1F3DABA0" w14:textId="77777777" w:rsidTr="00460ADD">
        <w:tc>
          <w:tcPr>
            <w:tcW w:w="1816" w:type="dxa"/>
          </w:tcPr>
          <w:p w14:paraId="7F8E0259" w14:textId="77777777" w:rsidR="00460ADD" w:rsidRPr="00DE0AD7" w:rsidRDefault="00460ADD" w:rsidP="00460ADD">
            <w:pPr>
              <w:rPr>
                <w:rFonts w:cs="Arial"/>
                <w:szCs w:val="24"/>
              </w:rPr>
            </w:pPr>
            <w:r w:rsidRPr="00DE0AD7">
              <w:rPr>
                <w:rFonts w:cs="Arial"/>
                <w:szCs w:val="24"/>
              </w:rPr>
              <w:t>Criteria/KLOE:</w:t>
            </w:r>
          </w:p>
        </w:tc>
        <w:tc>
          <w:tcPr>
            <w:tcW w:w="3679" w:type="dxa"/>
          </w:tcPr>
          <w:p w14:paraId="05FCFF61" w14:textId="77777777" w:rsidR="00460ADD" w:rsidRPr="00BA52E7" w:rsidRDefault="00460ADD" w:rsidP="00460ADD">
            <w:pPr>
              <w:rPr>
                <w:rFonts w:cs="Arial"/>
                <w:szCs w:val="24"/>
              </w:rPr>
            </w:pPr>
            <w:r w:rsidRPr="009C7C49">
              <w:rPr>
                <w:rFonts w:cs="Arial"/>
                <w:szCs w:val="24"/>
              </w:rPr>
              <w:t>S2, S3, E1, E2, W1, W2, W3,W4</w:t>
            </w:r>
          </w:p>
        </w:tc>
        <w:tc>
          <w:tcPr>
            <w:tcW w:w="2127" w:type="dxa"/>
          </w:tcPr>
          <w:p w14:paraId="55DDE735" w14:textId="77777777" w:rsidR="00460ADD" w:rsidRPr="00BA52E7" w:rsidRDefault="00460ADD" w:rsidP="00460ADD">
            <w:pPr>
              <w:rPr>
                <w:rFonts w:cs="Arial"/>
                <w:szCs w:val="24"/>
              </w:rPr>
            </w:pPr>
          </w:p>
        </w:tc>
        <w:tc>
          <w:tcPr>
            <w:tcW w:w="1701" w:type="dxa"/>
          </w:tcPr>
          <w:p w14:paraId="3CFBB438" w14:textId="77777777" w:rsidR="00460ADD" w:rsidRPr="00BA52E7" w:rsidRDefault="00460ADD" w:rsidP="00460ADD">
            <w:pPr>
              <w:rPr>
                <w:rFonts w:cs="Arial"/>
                <w:szCs w:val="24"/>
              </w:rPr>
            </w:pPr>
          </w:p>
        </w:tc>
      </w:tr>
    </w:tbl>
    <w:p w14:paraId="20A8E154" w14:textId="77777777" w:rsidR="00460ADD" w:rsidRPr="00ED0BD0" w:rsidRDefault="00460ADD" w:rsidP="00460ADD">
      <w:pPr>
        <w:spacing w:before="240"/>
        <w:rPr>
          <w:rFonts w:cs="Arial"/>
          <w:b/>
          <w:bCs/>
          <w:szCs w:val="24"/>
        </w:rPr>
      </w:pPr>
      <w:r w:rsidRPr="00ED0BD0">
        <w:rPr>
          <w:rFonts w:cs="Arial"/>
          <w:b/>
          <w:bCs/>
          <w:szCs w:val="24"/>
        </w:rPr>
        <w:t>Supports Standard(s)/KLOE</w:t>
      </w:r>
    </w:p>
    <w:p w14:paraId="7403003A" w14:textId="77777777" w:rsidR="00B148C1" w:rsidRDefault="00B148C1" w:rsidP="00B148C1">
      <w:pPr>
        <w:spacing w:before="240"/>
        <w:rPr>
          <w:rFonts w:cs="Arial"/>
          <w:b/>
          <w:bCs/>
          <w:szCs w:val="24"/>
        </w:rPr>
      </w:pPr>
      <w:r>
        <w:rPr>
          <w:rFonts w:cs="Arial"/>
          <w:b/>
          <w:bCs/>
          <w:szCs w:val="24"/>
        </w:rPr>
        <w:br w:type="page"/>
      </w:r>
    </w:p>
    <w:p w14:paraId="565DBA3D" w14:textId="3B22DB8E" w:rsidR="000954BE" w:rsidRDefault="000954BE">
      <w:pPr>
        <w:rPr>
          <w:rFonts w:cs="Arial"/>
          <w:szCs w:val="24"/>
        </w:rPr>
      </w:pPr>
    </w:p>
    <w:sdt>
      <w:sdtPr>
        <w:rPr>
          <w:rFonts w:ascii="Arial" w:eastAsia="Times New Roman" w:hAnsi="Arial" w:cs="Times New Roman"/>
          <w:color w:val="auto"/>
          <w:sz w:val="24"/>
          <w:szCs w:val="20"/>
          <w:lang w:val="en-GB"/>
        </w:rPr>
        <w:id w:val="309445534"/>
        <w:docPartObj>
          <w:docPartGallery w:val="Table of Contents"/>
          <w:docPartUnique/>
        </w:docPartObj>
      </w:sdtPr>
      <w:sdtEndPr>
        <w:rPr>
          <w:b/>
          <w:bCs/>
          <w:noProof/>
        </w:rPr>
      </w:sdtEndPr>
      <w:sdtContent>
        <w:p w14:paraId="12020E11" w14:textId="188A35A5" w:rsidR="007977B3" w:rsidRDefault="007977B3">
          <w:pPr>
            <w:pStyle w:val="TOCHeading"/>
            <w:rPr>
              <w:rFonts w:ascii="Arial" w:hAnsi="Arial" w:cs="Arial"/>
              <w:b/>
              <w:bCs/>
              <w:color w:val="auto"/>
            </w:rPr>
          </w:pPr>
          <w:r w:rsidRPr="00460ADD">
            <w:rPr>
              <w:rFonts w:ascii="Arial" w:hAnsi="Arial" w:cs="Arial"/>
              <w:b/>
              <w:bCs/>
              <w:color w:val="auto"/>
            </w:rPr>
            <w:t>Table of Contents</w:t>
          </w:r>
        </w:p>
        <w:p w14:paraId="2F0017F7" w14:textId="77777777" w:rsidR="00752C07" w:rsidRPr="00752C07" w:rsidRDefault="00752C07" w:rsidP="00752C07">
          <w:pPr>
            <w:rPr>
              <w:lang w:val="en-US"/>
            </w:rPr>
          </w:pPr>
        </w:p>
        <w:p w14:paraId="6EBEA9B3" w14:textId="175E3754" w:rsidR="00460ADD" w:rsidRDefault="007977B3">
          <w:pPr>
            <w:pStyle w:val="TOC1"/>
            <w:rPr>
              <w:rFonts w:asciiTheme="minorHAnsi" w:eastAsiaTheme="minorEastAsia" w:hAnsiTheme="minorHAnsi" w:cstheme="minorBidi"/>
              <w:bCs w:val="0"/>
              <w:sz w:val="22"/>
              <w:szCs w:val="22"/>
              <w:lang w:eastAsia="en-GB"/>
            </w:rPr>
          </w:pPr>
          <w:r>
            <w:fldChar w:fldCharType="begin"/>
          </w:r>
          <w:r>
            <w:instrText xml:space="preserve"> TOC \o "1-3" \h \z \u </w:instrText>
          </w:r>
          <w:r>
            <w:fldChar w:fldCharType="separate"/>
          </w:r>
          <w:hyperlink w:anchor="_Toc135901065" w:history="1">
            <w:r w:rsidR="00460ADD" w:rsidRPr="0013486C">
              <w:rPr>
                <w:rStyle w:val="Hyperlink"/>
                <w:b/>
              </w:rPr>
              <w:t>1.</w:t>
            </w:r>
            <w:r w:rsidR="00460ADD">
              <w:rPr>
                <w:rFonts w:asciiTheme="minorHAnsi" w:eastAsiaTheme="minorEastAsia" w:hAnsiTheme="minorHAnsi" w:cstheme="minorBidi"/>
                <w:bCs w:val="0"/>
                <w:sz w:val="22"/>
                <w:szCs w:val="22"/>
                <w:lang w:eastAsia="en-GB"/>
              </w:rPr>
              <w:tab/>
            </w:r>
            <w:r w:rsidR="00460ADD" w:rsidRPr="0013486C">
              <w:rPr>
                <w:rStyle w:val="Hyperlink"/>
                <w:b/>
              </w:rPr>
              <w:t>Scope</w:t>
            </w:r>
            <w:r w:rsidR="00460ADD">
              <w:rPr>
                <w:webHidden/>
              </w:rPr>
              <w:tab/>
            </w:r>
            <w:r w:rsidR="00460ADD">
              <w:rPr>
                <w:webHidden/>
              </w:rPr>
              <w:fldChar w:fldCharType="begin"/>
            </w:r>
            <w:r w:rsidR="00460ADD">
              <w:rPr>
                <w:webHidden/>
              </w:rPr>
              <w:instrText xml:space="preserve"> PAGEREF _Toc135901065 \h </w:instrText>
            </w:r>
            <w:r w:rsidR="00460ADD">
              <w:rPr>
                <w:webHidden/>
              </w:rPr>
            </w:r>
            <w:r w:rsidR="00460ADD">
              <w:rPr>
                <w:webHidden/>
              </w:rPr>
              <w:fldChar w:fldCharType="separate"/>
            </w:r>
            <w:r w:rsidR="00460ADD">
              <w:rPr>
                <w:webHidden/>
              </w:rPr>
              <w:t>4</w:t>
            </w:r>
            <w:r w:rsidR="00460ADD">
              <w:rPr>
                <w:webHidden/>
              </w:rPr>
              <w:fldChar w:fldCharType="end"/>
            </w:r>
          </w:hyperlink>
        </w:p>
        <w:p w14:paraId="23813C34" w14:textId="656DEF2D" w:rsidR="00460ADD" w:rsidRDefault="00460ADD">
          <w:pPr>
            <w:pStyle w:val="TOC1"/>
            <w:rPr>
              <w:rFonts w:asciiTheme="minorHAnsi" w:eastAsiaTheme="minorEastAsia" w:hAnsiTheme="minorHAnsi" w:cstheme="minorBidi"/>
              <w:bCs w:val="0"/>
              <w:sz w:val="22"/>
              <w:szCs w:val="22"/>
              <w:lang w:eastAsia="en-GB"/>
            </w:rPr>
          </w:pPr>
          <w:hyperlink w:anchor="_Toc135901066" w:history="1">
            <w:r w:rsidRPr="0013486C">
              <w:rPr>
                <w:rStyle w:val="Hyperlink"/>
                <w:rFonts w:ascii="Arial Bold" w:hAnsi="Arial Bold" w:cs="Times New Roman"/>
                <w:b/>
                <w:caps/>
                <w:kern w:val="24"/>
              </w:rPr>
              <w:t>2</w:t>
            </w:r>
            <w:r>
              <w:rPr>
                <w:rFonts w:asciiTheme="minorHAnsi" w:eastAsiaTheme="minorEastAsia" w:hAnsiTheme="minorHAnsi" w:cstheme="minorBidi"/>
                <w:bCs w:val="0"/>
                <w:sz w:val="22"/>
                <w:szCs w:val="22"/>
                <w:lang w:eastAsia="en-GB"/>
              </w:rPr>
              <w:tab/>
            </w:r>
            <w:r w:rsidRPr="0013486C">
              <w:rPr>
                <w:rStyle w:val="Hyperlink"/>
                <w:b/>
              </w:rPr>
              <w:t>Aims</w:t>
            </w:r>
            <w:r>
              <w:rPr>
                <w:webHidden/>
              </w:rPr>
              <w:tab/>
            </w:r>
            <w:r>
              <w:rPr>
                <w:webHidden/>
              </w:rPr>
              <w:fldChar w:fldCharType="begin"/>
            </w:r>
            <w:r>
              <w:rPr>
                <w:webHidden/>
              </w:rPr>
              <w:instrText xml:space="preserve"> PAGEREF _Toc135901066 \h </w:instrText>
            </w:r>
            <w:r>
              <w:rPr>
                <w:webHidden/>
              </w:rPr>
            </w:r>
            <w:r>
              <w:rPr>
                <w:webHidden/>
              </w:rPr>
              <w:fldChar w:fldCharType="separate"/>
            </w:r>
            <w:r>
              <w:rPr>
                <w:webHidden/>
              </w:rPr>
              <w:t>4</w:t>
            </w:r>
            <w:r>
              <w:rPr>
                <w:webHidden/>
              </w:rPr>
              <w:fldChar w:fldCharType="end"/>
            </w:r>
          </w:hyperlink>
        </w:p>
        <w:p w14:paraId="2FEF5A41" w14:textId="737144E6" w:rsidR="00460ADD" w:rsidRDefault="00460ADD">
          <w:pPr>
            <w:pStyle w:val="TOC1"/>
            <w:rPr>
              <w:rFonts w:asciiTheme="minorHAnsi" w:eastAsiaTheme="minorEastAsia" w:hAnsiTheme="minorHAnsi" w:cstheme="minorBidi"/>
              <w:bCs w:val="0"/>
              <w:sz w:val="22"/>
              <w:szCs w:val="22"/>
              <w:lang w:eastAsia="en-GB"/>
            </w:rPr>
          </w:pPr>
          <w:hyperlink w:anchor="_Toc135901067" w:history="1">
            <w:r w:rsidRPr="0013486C">
              <w:rPr>
                <w:rStyle w:val="Hyperlink"/>
                <w:rFonts w:ascii="Arial Bold" w:hAnsi="Arial Bold" w:cs="Times New Roman"/>
                <w:b/>
                <w:caps/>
                <w:kern w:val="24"/>
              </w:rPr>
              <w:t>3</w:t>
            </w:r>
            <w:r>
              <w:rPr>
                <w:rFonts w:asciiTheme="minorHAnsi" w:eastAsiaTheme="minorEastAsia" w:hAnsiTheme="minorHAnsi" w:cstheme="minorBidi"/>
                <w:bCs w:val="0"/>
                <w:sz w:val="22"/>
                <w:szCs w:val="22"/>
                <w:lang w:eastAsia="en-GB"/>
              </w:rPr>
              <w:tab/>
            </w:r>
            <w:r w:rsidRPr="0013486C">
              <w:rPr>
                <w:rStyle w:val="Hyperlink"/>
                <w:b/>
              </w:rPr>
              <w:t>Objectives</w:t>
            </w:r>
            <w:r>
              <w:rPr>
                <w:webHidden/>
              </w:rPr>
              <w:tab/>
            </w:r>
            <w:r>
              <w:rPr>
                <w:webHidden/>
              </w:rPr>
              <w:fldChar w:fldCharType="begin"/>
            </w:r>
            <w:r>
              <w:rPr>
                <w:webHidden/>
              </w:rPr>
              <w:instrText xml:space="preserve"> PAGEREF _Toc135901067 \h </w:instrText>
            </w:r>
            <w:r>
              <w:rPr>
                <w:webHidden/>
              </w:rPr>
            </w:r>
            <w:r>
              <w:rPr>
                <w:webHidden/>
              </w:rPr>
              <w:fldChar w:fldCharType="separate"/>
            </w:r>
            <w:r>
              <w:rPr>
                <w:webHidden/>
              </w:rPr>
              <w:t>4</w:t>
            </w:r>
            <w:r>
              <w:rPr>
                <w:webHidden/>
              </w:rPr>
              <w:fldChar w:fldCharType="end"/>
            </w:r>
          </w:hyperlink>
        </w:p>
        <w:p w14:paraId="0C662E68" w14:textId="5AFFFD6F" w:rsidR="00460ADD" w:rsidRDefault="00460ADD">
          <w:pPr>
            <w:pStyle w:val="TOC1"/>
            <w:rPr>
              <w:rFonts w:asciiTheme="minorHAnsi" w:eastAsiaTheme="minorEastAsia" w:hAnsiTheme="minorHAnsi" w:cstheme="minorBidi"/>
              <w:bCs w:val="0"/>
              <w:sz w:val="22"/>
              <w:szCs w:val="22"/>
              <w:lang w:eastAsia="en-GB"/>
            </w:rPr>
          </w:pPr>
          <w:hyperlink w:anchor="_Toc135901068" w:history="1">
            <w:r w:rsidRPr="0013486C">
              <w:rPr>
                <w:rStyle w:val="Hyperlink"/>
                <w:rFonts w:ascii="Arial Bold" w:hAnsi="Arial Bold" w:cs="Times New Roman"/>
                <w:b/>
                <w:caps/>
                <w:kern w:val="24"/>
              </w:rPr>
              <w:t>4</w:t>
            </w:r>
            <w:r>
              <w:rPr>
                <w:rFonts w:asciiTheme="minorHAnsi" w:eastAsiaTheme="minorEastAsia" w:hAnsiTheme="minorHAnsi" w:cstheme="minorBidi"/>
                <w:bCs w:val="0"/>
                <w:sz w:val="22"/>
                <w:szCs w:val="22"/>
                <w:lang w:eastAsia="en-GB"/>
              </w:rPr>
              <w:tab/>
            </w:r>
            <w:r w:rsidRPr="0013486C">
              <w:rPr>
                <w:rStyle w:val="Hyperlink"/>
                <w:b/>
              </w:rPr>
              <w:t>Principles</w:t>
            </w:r>
            <w:r>
              <w:rPr>
                <w:webHidden/>
              </w:rPr>
              <w:tab/>
            </w:r>
            <w:r>
              <w:rPr>
                <w:webHidden/>
              </w:rPr>
              <w:fldChar w:fldCharType="begin"/>
            </w:r>
            <w:r>
              <w:rPr>
                <w:webHidden/>
              </w:rPr>
              <w:instrText xml:space="preserve"> PAGEREF _Toc135901068 \h </w:instrText>
            </w:r>
            <w:r>
              <w:rPr>
                <w:webHidden/>
              </w:rPr>
            </w:r>
            <w:r>
              <w:rPr>
                <w:webHidden/>
              </w:rPr>
              <w:fldChar w:fldCharType="separate"/>
            </w:r>
            <w:r>
              <w:rPr>
                <w:webHidden/>
              </w:rPr>
              <w:t>5</w:t>
            </w:r>
            <w:r>
              <w:rPr>
                <w:webHidden/>
              </w:rPr>
              <w:fldChar w:fldCharType="end"/>
            </w:r>
          </w:hyperlink>
        </w:p>
        <w:p w14:paraId="470F0780" w14:textId="4A8198B4" w:rsidR="00460ADD" w:rsidRDefault="00460ADD">
          <w:pPr>
            <w:pStyle w:val="TOC1"/>
            <w:rPr>
              <w:rFonts w:asciiTheme="minorHAnsi" w:eastAsiaTheme="minorEastAsia" w:hAnsiTheme="minorHAnsi" w:cstheme="minorBidi"/>
              <w:bCs w:val="0"/>
              <w:sz w:val="22"/>
              <w:szCs w:val="22"/>
              <w:lang w:eastAsia="en-GB"/>
            </w:rPr>
          </w:pPr>
          <w:hyperlink w:anchor="_Toc135901069" w:history="1">
            <w:r w:rsidRPr="0013486C">
              <w:rPr>
                <w:rStyle w:val="Hyperlink"/>
                <w:rFonts w:ascii="Arial Bold" w:hAnsi="Arial Bold" w:cs="Times New Roman"/>
                <w:b/>
                <w:caps/>
                <w:kern w:val="24"/>
              </w:rPr>
              <w:t>5</w:t>
            </w:r>
            <w:r>
              <w:rPr>
                <w:rFonts w:asciiTheme="minorHAnsi" w:eastAsiaTheme="minorEastAsia" w:hAnsiTheme="minorHAnsi" w:cstheme="minorBidi"/>
                <w:bCs w:val="0"/>
                <w:sz w:val="22"/>
                <w:szCs w:val="22"/>
                <w:lang w:eastAsia="en-GB"/>
              </w:rPr>
              <w:tab/>
            </w:r>
            <w:r w:rsidRPr="0013486C">
              <w:rPr>
                <w:rStyle w:val="Hyperlink"/>
                <w:b/>
              </w:rPr>
              <w:t>Definitions</w:t>
            </w:r>
            <w:r>
              <w:rPr>
                <w:webHidden/>
              </w:rPr>
              <w:tab/>
            </w:r>
            <w:r>
              <w:rPr>
                <w:webHidden/>
              </w:rPr>
              <w:fldChar w:fldCharType="begin"/>
            </w:r>
            <w:r>
              <w:rPr>
                <w:webHidden/>
              </w:rPr>
              <w:instrText xml:space="preserve"> PAGEREF _Toc135901069 \h </w:instrText>
            </w:r>
            <w:r>
              <w:rPr>
                <w:webHidden/>
              </w:rPr>
            </w:r>
            <w:r>
              <w:rPr>
                <w:webHidden/>
              </w:rPr>
              <w:fldChar w:fldCharType="separate"/>
            </w:r>
            <w:r>
              <w:rPr>
                <w:webHidden/>
              </w:rPr>
              <w:t>13</w:t>
            </w:r>
            <w:r>
              <w:rPr>
                <w:webHidden/>
              </w:rPr>
              <w:fldChar w:fldCharType="end"/>
            </w:r>
          </w:hyperlink>
        </w:p>
        <w:p w14:paraId="269F8A6D" w14:textId="24634B62" w:rsidR="00460ADD" w:rsidRDefault="00460ADD">
          <w:pPr>
            <w:pStyle w:val="TOC1"/>
            <w:rPr>
              <w:rFonts w:asciiTheme="minorHAnsi" w:eastAsiaTheme="minorEastAsia" w:hAnsiTheme="minorHAnsi" w:cstheme="minorBidi"/>
              <w:bCs w:val="0"/>
              <w:sz w:val="22"/>
              <w:szCs w:val="22"/>
              <w:lang w:eastAsia="en-GB"/>
            </w:rPr>
          </w:pPr>
          <w:hyperlink w:anchor="_Toc135901070" w:history="1">
            <w:r w:rsidRPr="0013486C">
              <w:rPr>
                <w:rStyle w:val="Hyperlink"/>
                <w:rFonts w:ascii="Arial Bold" w:hAnsi="Arial Bold" w:cs="Times New Roman"/>
                <w:b/>
                <w:caps/>
                <w:kern w:val="24"/>
              </w:rPr>
              <w:t>6</w:t>
            </w:r>
            <w:r>
              <w:rPr>
                <w:rFonts w:asciiTheme="minorHAnsi" w:eastAsiaTheme="minorEastAsia" w:hAnsiTheme="minorHAnsi" w:cstheme="minorBidi"/>
                <w:bCs w:val="0"/>
                <w:sz w:val="22"/>
                <w:szCs w:val="22"/>
                <w:lang w:eastAsia="en-GB"/>
              </w:rPr>
              <w:tab/>
            </w:r>
            <w:r w:rsidRPr="0013486C">
              <w:rPr>
                <w:rStyle w:val="Hyperlink"/>
                <w:b/>
              </w:rPr>
              <w:t>Responsibilities</w:t>
            </w:r>
            <w:r>
              <w:rPr>
                <w:webHidden/>
              </w:rPr>
              <w:tab/>
            </w:r>
            <w:r>
              <w:rPr>
                <w:webHidden/>
              </w:rPr>
              <w:fldChar w:fldCharType="begin"/>
            </w:r>
            <w:r>
              <w:rPr>
                <w:webHidden/>
              </w:rPr>
              <w:instrText xml:space="preserve"> PAGEREF _Toc135901070 \h </w:instrText>
            </w:r>
            <w:r>
              <w:rPr>
                <w:webHidden/>
              </w:rPr>
            </w:r>
            <w:r>
              <w:rPr>
                <w:webHidden/>
              </w:rPr>
              <w:fldChar w:fldCharType="separate"/>
            </w:r>
            <w:r>
              <w:rPr>
                <w:webHidden/>
              </w:rPr>
              <w:t>14</w:t>
            </w:r>
            <w:r>
              <w:rPr>
                <w:webHidden/>
              </w:rPr>
              <w:fldChar w:fldCharType="end"/>
            </w:r>
          </w:hyperlink>
        </w:p>
        <w:p w14:paraId="518E31AB" w14:textId="23D9BC67" w:rsidR="00460ADD" w:rsidRDefault="00460ADD">
          <w:pPr>
            <w:pStyle w:val="TOC1"/>
            <w:rPr>
              <w:rFonts w:asciiTheme="minorHAnsi" w:eastAsiaTheme="minorEastAsia" w:hAnsiTheme="minorHAnsi" w:cstheme="minorBidi"/>
              <w:bCs w:val="0"/>
              <w:sz w:val="22"/>
              <w:szCs w:val="22"/>
              <w:lang w:eastAsia="en-GB"/>
            </w:rPr>
          </w:pPr>
          <w:hyperlink w:anchor="_Toc135901071" w:history="1">
            <w:r w:rsidRPr="0013486C">
              <w:rPr>
                <w:rStyle w:val="Hyperlink"/>
                <w:rFonts w:ascii="Arial Bold" w:hAnsi="Arial Bold" w:cs="Times New Roman"/>
                <w:b/>
                <w:caps/>
                <w:kern w:val="24"/>
              </w:rPr>
              <w:t>7</w:t>
            </w:r>
            <w:r>
              <w:rPr>
                <w:rFonts w:asciiTheme="minorHAnsi" w:eastAsiaTheme="minorEastAsia" w:hAnsiTheme="minorHAnsi" w:cstheme="minorBidi"/>
                <w:bCs w:val="0"/>
                <w:sz w:val="22"/>
                <w:szCs w:val="22"/>
                <w:lang w:eastAsia="en-GB"/>
              </w:rPr>
              <w:tab/>
            </w:r>
            <w:r w:rsidRPr="0013486C">
              <w:rPr>
                <w:rStyle w:val="Hyperlink"/>
                <w:b/>
              </w:rPr>
              <w:t>Audit and Review</w:t>
            </w:r>
            <w:r>
              <w:rPr>
                <w:webHidden/>
              </w:rPr>
              <w:tab/>
            </w:r>
            <w:r>
              <w:rPr>
                <w:webHidden/>
              </w:rPr>
              <w:fldChar w:fldCharType="begin"/>
            </w:r>
            <w:r>
              <w:rPr>
                <w:webHidden/>
              </w:rPr>
              <w:instrText xml:space="preserve"> PAGEREF _Toc135901071 \h </w:instrText>
            </w:r>
            <w:r>
              <w:rPr>
                <w:webHidden/>
              </w:rPr>
            </w:r>
            <w:r>
              <w:rPr>
                <w:webHidden/>
              </w:rPr>
              <w:fldChar w:fldCharType="separate"/>
            </w:r>
            <w:r>
              <w:rPr>
                <w:webHidden/>
              </w:rPr>
              <w:t>16</w:t>
            </w:r>
            <w:r>
              <w:rPr>
                <w:webHidden/>
              </w:rPr>
              <w:fldChar w:fldCharType="end"/>
            </w:r>
          </w:hyperlink>
        </w:p>
        <w:p w14:paraId="57143E31" w14:textId="3DF3D3C6" w:rsidR="00460ADD" w:rsidRDefault="00460ADD">
          <w:pPr>
            <w:pStyle w:val="TOC1"/>
            <w:rPr>
              <w:rFonts w:asciiTheme="minorHAnsi" w:eastAsiaTheme="minorEastAsia" w:hAnsiTheme="minorHAnsi" w:cstheme="minorBidi"/>
              <w:bCs w:val="0"/>
              <w:sz w:val="22"/>
              <w:szCs w:val="22"/>
              <w:lang w:eastAsia="en-GB"/>
            </w:rPr>
          </w:pPr>
          <w:hyperlink w:anchor="_Toc135901072" w:history="1">
            <w:r w:rsidRPr="0013486C">
              <w:rPr>
                <w:rStyle w:val="Hyperlink"/>
                <w:rFonts w:ascii="Arial Bold" w:hAnsi="Arial Bold" w:cs="Times New Roman"/>
                <w:b/>
                <w:caps/>
                <w:kern w:val="24"/>
              </w:rPr>
              <w:t>8</w:t>
            </w:r>
            <w:r>
              <w:rPr>
                <w:rFonts w:asciiTheme="minorHAnsi" w:eastAsiaTheme="minorEastAsia" w:hAnsiTheme="minorHAnsi" w:cstheme="minorBidi"/>
                <w:bCs w:val="0"/>
                <w:sz w:val="22"/>
                <w:szCs w:val="22"/>
                <w:lang w:eastAsia="en-GB"/>
              </w:rPr>
              <w:tab/>
            </w:r>
            <w:r w:rsidRPr="0013486C">
              <w:rPr>
                <w:rStyle w:val="Hyperlink"/>
                <w:b/>
              </w:rPr>
              <w:t>Associated Documentation</w:t>
            </w:r>
            <w:r>
              <w:rPr>
                <w:webHidden/>
              </w:rPr>
              <w:tab/>
            </w:r>
            <w:r>
              <w:rPr>
                <w:webHidden/>
              </w:rPr>
              <w:fldChar w:fldCharType="begin"/>
            </w:r>
            <w:r>
              <w:rPr>
                <w:webHidden/>
              </w:rPr>
              <w:instrText xml:space="preserve"> PAGEREF _Toc135901072 \h </w:instrText>
            </w:r>
            <w:r>
              <w:rPr>
                <w:webHidden/>
              </w:rPr>
            </w:r>
            <w:r>
              <w:rPr>
                <w:webHidden/>
              </w:rPr>
              <w:fldChar w:fldCharType="separate"/>
            </w:r>
            <w:r>
              <w:rPr>
                <w:webHidden/>
              </w:rPr>
              <w:t>16</w:t>
            </w:r>
            <w:r>
              <w:rPr>
                <w:webHidden/>
              </w:rPr>
              <w:fldChar w:fldCharType="end"/>
            </w:r>
          </w:hyperlink>
        </w:p>
        <w:p w14:paraId="3EA2CC2C" w14:textId="6D48A367" w:rsidR="00460ADD" w:rsidRDefault="00460ADD">
          <w:pPr>
            <w:pStyle w:val="TOC1"/>
            <w:rPr>
              <w:rFonts w:asciiTheme="minorHAnsi" w:eastAsiaTheme="minorEastAsia" w:hAnsiTheme="minorHAnsi" w:cstheme="minorBidi"/>
              <w:bCs w:val="0"/>
              <w:sz w:val="22"/>
              <w:szCs w:val="22"/>
              <w:lang w:eastAsia="en-GB"/>
            </w:rPr>
          </w:pPr>
          <w:hyperlink w:anchor="_Toc135901073" w:history="1">
            <w:r w:rsidRPr="0013486C">
              <w:rPr>
                <w:rStyle w:val="Hyperlink"/>
                <w:rFonts w:ascii="Arial Bold" w:hAnsi="Arial Bold" w:cs="Times New Roman"/>
                <w:b/>
                <w:caps/>
                <w:kern w:val="24"/>
              </w:rPr>
              <w:t>9</w:t>
            </w:r>
            <w:r>
              <w:rPr>
                <w:rFonts w:asciiTheme="minorHAnsi" w:eastAsiaTheme="minorEastAsia" w:hAnsiTheme="minorHAnsi" w:cstheme="minorBidi"/>
                <w:bCs w:val="0"/>
                <w:sz w:val="22"/>
                <w:szCs w:val="22"/>
                <w:lang w:eastAsia="en-GB"/>
              </w:rPr>
              <w:tab/>
            </w:r>
            <w:r w:rsidRPr="0013486C">
              <w:rPr>
                <w:rStyle w:val="Hyperlink"/>
                <w:b/>
              </w:rPr>
              <w:t>References</w:t>
            </w:r>
            <w:r>
              <w:rPr>
                <w:webHidden/>
              </w:rPr>
              <w:tab/>
            </w:r>
            <w:r>
              <w:rPr>
                <w:webHidden/>
              </w:rPr>
              <w:fldChar w:fldCharType="begin"/>
            </w:r>
            <w:r>
              <w:rPr>
                <w:webHidden/>
              </w:rPr>
              <w:instrText xml:space="preserve"> PAGEREF _Toc135901073 \h </w:instrText>
            </w:r>
            <w:r>
              <w:rPr>
                <w:webHidden/>
              </w:rPr>
            </w:r>
            <w:r>
              <w:rPr>
                <w:webHidden/>
              </w:rPr>
              <w:fldChar w:fldCharType="separate"/>
            </w:r>
            <w:r>
              <w:rPr>
                <w:webHidden/>
              </w:rPr>
              <w:t>17</w:t>
            </w:r>
            <w:r>
              <w:rPr>
                <w:webHidden/>
              </w:rPr>
              <w:fldChar w:fldCharType="end"/>
            </w:r>
          </w:hyperlink>
        </w:p>
        <w:p w14:paraId="067F7CD2" w14:textId="0DC3C7D6" w:rsidR="00460ADD" w:rsidRDefault="00460ADD">
          <w:pPr>
            <w:pStyle w:val="TOC1"/>
            <w:tabs>
              <w:tab w:val="left" w:pos="1760"/>
            </w:tabs>
            <w:rPr>
              <w:rFonts w:asciiTheme="minorHAnsi" w:eastAsiaTheme="minorEastAsia" w:hAnsiTheme="minorHAnsi" w:cstheme="minorBidi"/>
              <w:bCs w:val="0"/>
              <w:sz w:val="22"/>
              <w:szCs w:val="22"/>
              <w:lang w:eastAsia="en-GB"/>
            </w:rPr>
          </w:pPr>
          <w:hyperlink w:anchor="_Toc135901074" w:history="1">
            <w:r w:rsidRPr="0013486C">
              <w:rPr>
                <w:rStyle w:val="Hyperlink"/>
                <w:b/>
              </w:rPr>
              <w:t>Appendix A:</w:t>
            </w:r>
            <w:r>
              <w:rPr>
                <w:rFonts w:asciiTheme="minorHAnsi" w:eastAsiaTheme="minorEastAsia" w:hAnsiTheme="minorHAnsi" w:cstheme="minorBidi"/>
                <w:bCs w:val="0"/>
                <w:sz w:val="22"/>
                <w:szCs w:val="22"/>
                <w:lang w:eastAsia="en-GB"/>
              </w:rPr>
              <w:tab/>
            </w:r>
            <w:r w:rsidRPr="0013486C">
              <w:rPr>
                <w:rStyle w:val="Hyperlink"/>
                <w:b/>
              </w:rPr>
              <w:t>Vehicle Make Ready Record (MRS 005)</w:t>
            </w:r>
            <w:r>
              <w:rPr>
                <w:webHidden/>
              </w:rPr>
              <w:tab/>
            </w:r>
            <w:r>
              <w:rPr>
                <w:webHidden/>
              </w:rPr>
              <w:fldChar w:fldCharType="begin"/>
            </w:r>
            <w:r>
              <w:rPr>
                <w:webHidden/>
              </w:rPr>
              <w:instrText xml:space="preserve"> PAGEREF _Toc135901074 \h </w:instrText>
            </w:r>
            <w:r>
              <w:rPr>
                <w:webHidden/>
              </w:rPr>
            </w:r>
            <w:r>
              <w:rPr>
                <w:webHidden/>
              </w:rPr>
              <w:fldChar w:fldCharType="separate"/>
            </w:r>
            <w:r>
              <w:rPr>
                <w:webHidden/>
              </w:rPr>
              <w:t>18</w:t>
            </w:r>
            <w:r>
              <w:rPr>
                <w:webHidden/>
              </w:rPr>
              <w:fldChar w:fldCharType="end"/>
            </w:r>
          </w:hyperlink>
        </w:p>
        <w:p w14:paraId="63E426AE" w14:textId="68B64610" w:rsidR="00460ADD" w:rsidRDefault="00460ADD">
          <w:pPr>
            <w:pStyle w:val="TOC1"/>
            <w:tabs>
              <w:tab w:val="left" w:pos="1760"/>
            </w:tabs>
            <w:rPr>
              <w:rFonts w:asciiTheme="minorHAnsi" w:eastAsiaTheme="minorEastAsia" w:hAnsiTheme="minorHAnsi" w:cstheme="minorBidi"/>
              <w:bCs w:val="0"/>
              <w:sz w:val="22"/>
              <w:szCs w:val="22"/>
              <w:lang w:eastAsia="en-GB"/>
            </w:rPr>
          </w:pPr>
          <w:hyperlink w:anchor="_Toc135901075" w:history="1">
            <w:r w:rsidRPr="0013486C">
              <w:rPr>
                <w:rStyle w:val="Hyperlink"/>
                <w:b/>
              </w:rPr>
              <w:t>Appendix B:</w:t>
            </w:r>
            <w:r>
              <w:rPr>
                <w:rFonts w:asciiTheme="minorHAnsi" w:eastAsiaTheme="minorEastAsia" w:hAnsiTheme="minorHAnsi" w:cstheme="minorBidi"/>
                <w:bCs w:val="0"/>
                <w:sz w:val="22"/>
                <w:szCs w:val="22"/>
                <w:lang w:eastAsia="en-GB"/>
              </w:rPr>
              <w:tab/>
            </w:r>
            <w:r w:rsidRPr="0013486C">
              <w:rPr>
                <w:rStyle w:val="Hyperlink"/>
                <w:b/>
              </w:rPr>
              <w:t>Categories of Drivers</w:t>
            </w:r>
            <w:r>
              <w:rPr>
                <w:webHidden/>
              </w:rPr>
              <w:tab/>
            </w:r>
            <w:r>
              <w:rPr>
                <w:webHidden/>
              </w:rPr>
              <w:fldChar w:fldCharType="begin"/>
            </w:r>
            <w:r>
              <w:rPr>
                <w:webHidden/>
              </w:rPr>
              <w:instrText xml:space="preserve"> PAGEREF _Toc135901075 \h </w:instrText>
            </w:r>
            <w:r>
              <w:rPr>
                <w:webHidden/>
              </w:rPr>
            </w:r>
            <w:r>
              <w:rPr>
                <w:webHidden/>
              </w:rPr>
              <w:fldChar w:fldCharType="separate"/>
            </w:r>
            <w:r>
              <w:rPr>
                <w:webHidden/>
              </w:rPr>
              <w:t>19</w:t>
            </w:r>
            <w:r>
              <w:rPr>
                <w:webHidden/>
              </w:rPr>
              <w:fldChar w:fldCharType="end"/>
            </w:r>
          </w:hyperlink>
        </w:p>
        <w:p w14:paraId="42ACC95D" w14:textId="6E8CB6F0" w:rsidR="00460ADD" w:rsidRDefault="00460ADD">
          <w:pPr>
            <w:pStyle w:val="TOC1"/>
            <w:rPr>
              <w:rFonts w:asciiTheme="minorHAnsi" w:eastAsiaTheme="minorEastAsia" w:hAnsiTheme="minorHAnsi" w:cstheme="minorBidi"/>
              <w:bCs w:val="0"/>
              <w:sz w:val="22"/>
              <w:szCs w:val="22"/>
              <w:lang w:eastAsia="en-GB"/>
            </w:rPr>
          </w:pPr>
          <w:hyperlink w:anchor="_Toc135901076" w:history="1">
            <w:r w:rsidRPr="0013486C">
              <w:rPr>
                <w:rStyle w:val="Hyperlink"/>
                <w:b/>
              </w:rPr>
              <w:t>Document Control</w:t>
            </w:r>
            <w:r>
              <w:rPr>
                <w:webHidden/>
              </w:rPr>
              <w:tab/>
            </w:r>
            <w:r>
              <w:rPr>
                <w:webHidden/>
              </w:rPr>
              <w:fldChar w:fldCharType="begin"/>
            </w:r>
            <w:r>
              <w:rPr>
                <w:webHidden/>
              </w:rPr>
              <w:instrText xml:space="preserve"> PAGEREF _Toc135901076 \h </w:instrText>
            </w:r>
            <w:r>
              <w:rPr>
                <w:webHidden/>
              </w:rPr>
            </w:r>
            <w:r>
              <w:rPr>
                <w:webHidden/>
              </w:rPr>
              <w:fldChar w:fldCharType="separate"/>
            </w:r>
            <w:r>
              <w:rPr>
                <w:webHidden/>
              </w:rPr>
              <w:t>22</w:t>
            </w:r>
            <w:r>
              <w:rPr>
                <w:webHidden/>
              </w:rPr>
              <w:fldChar w:fldCharType="end"/>
            </w:r>
          </w:hyperlink>
        </w:p>
        <w:p w14:paraId="73E25DBE" w14:textId="79B5BAB1" w:rsidR="007977B3" w:rsidRDefault="007977B3">
          <w:r>
            <w:rPr>
              <w:b/>
              <w:bCs/>
              <w:noProof/>
            </w:rPr>
            <w:fldChar w:fldCharType="end"/>
          </w:r>
        </w:p>
      </w:sdtContent>
    </w:sdt>
    <w:p w14:paraId="6F7D6245" w14:textId="503B9F9F" w:rsidR="000954BE" w:rsidRDefault="000954BE">
      <w:pPr>
        <w:pStyle w:val="TOC3"/>
        <w:ind w:left="446"/>
      </w:pPr>
    </w:p>
    <w:p w14:paraId="11D2B913" w14:textId="77777777" w:rsidR="00ED0BD0" w:rsidRPr="0088232E" w:rsidRDefault="00ED0BD0" w:rsidP="000A70D9">
      <w:pPr>
        <w:rPr>
          <w:rFonts w:cs="Arial"/>
          <w:szCs w:val="24"/>
        </w:rPr>
        <w:sectPr w:rsidR="00ED0BD0" w:rsidRPr="0088232E" w:rsidSect="00956798">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titlePg/>
          <w:docGrid w:linePitch="360"/>
        </w:sectPr>
      </w:pPr>
    </w:p>
    <w:p w14:paraId="4993FCBC" w14:textId="299649C1" w:rsidR="00ED0BD0" w:rsidRPr="00A3334D" w:rsidRDefault="00ED0BD0" w:rsidP="000954BE"/>
    <w:p w14:paraId="4993FCBD" w14:textId="77777777" w:rsidR="00ED0BD0" w:rsidRPr="000954BE" w:rsidRDefault="00ED0BD0" w:rsidP="000954BE">
      <w:pPr>
        <w:rPr>
          <w:rStyle w:val="Strong"/>
        </w:rPr>
      </w:pPr>
    </w:p>
    <w:p w14:paraId="4993FCBE" w14:textId="77777777" w:rsidR="00ED0BD0" w:rsidRDefault="00ED0BD0" w:rsidP="000954BE"/>
    <w:p w14:paraId="4993FCCA" w14:textId="1F0E693E" w:rsidR="00ED0BD0" w:rsidRPr="00F31C24" w:rsidRDefault="00BA52E7" w:rsidP="00F31C24">
      <w:pPr>
        <w:pStyle w:val="Heading1"/>
        <w:numPr>
          <w:ilvl w:val="0"/>
          <w:numId w:val="21"/>
        </w:numPr>
        <w:rPr>
          <w:b/>
          <w:bCs w:val="0"/>
          <w:sz w:val="28"/>
          <w:szCs w:val="28"/>
        </w:rPr>
      </w:pPr>
      <w:bookmarkStart w:id="1" w:name="_Toc135836935"/>
      <w:bookmarkStart w:id="2" w:name="_Toc135837080"/>
      <w:bookmarkStart w:id="3" w:name="_Toc135901065"/>
      <w:r w:rsidRPr="00F31C24">
        <w:rPr>
          <w:b/>
          <w:bCs w:val="0"/>
          <w:sz w:val="28"/>
          <w:szCs w:val="28"/>
        </w:rPr>
        <w:t>Scope</w:t>
      </w:r>
      <w:bookmarkEnd w:id="1"/>
      <w:bookmarkEnd w:id="2"/>
      <w:bookmarkEnd w:id="3"/>
    </w:p>
    <w:p w14:paraId="11DEF0D1" w14:textId="77777777" w:rsidR="009E4A8F" w:rsidRDefault="009E4A8F" w:rsidP="009E4A8F">
      <w:pPr>
        <w:numPr>
          <w:ilvl w:val="1"/>
          <w:numId w:val="2"/>
        </w:numPr>
        <w:spacing w:after="240"/>
        <w:rPr>
          <w:rFonts w:cs="Arial"/>
        </w:rPr>
      </w:pPr>
      <w:r w:rsidRPr="00076948">
        <w:rPr>
          <w:rFonts w:cs="Arial"/>
        </w:rPr>
        <w:t>South East Coast Ambulance Service NHS Foundation Trust (the Trust) is committed to promoting and establishing high standards of health, safety and welfare for its employees, including contractors and volunteers, as well as patients, including those with special or complex needs, their families and carers, and members of the public</w:t>
      </w:r>
    </w:p>
    <w:p w14:paraId="30C930E8" w14:textId="77777777" w:rsidR="009E4A8F" w:rsidRDefault="009E4A8F" w:rsidP="009E4A8F">
      <w:pPr>
        <w:numPr>
          <w:ilvl w:val="1"/>
          <w:numId w:val="2"/>
        </w:numPr>
        <w:spacing w:after="240"/>
        <w:rPr>
          <w:rFonts w:cs="Arial"/>
        </w:rPr>
      </w:pPr>
      <w:r>
        <w:rPr>
          <w:rFonts w:cs="Arial"/>
        </w:rPr>
        <w:t xml:space="preserve">The objectives of this procedure are to </w:t>
      </w:r>
      <w:r w:rsidRPr="009B5390">
        <w:rPr>
          <w:rFonts w:cs="Arial"/>
        </w:rPr>
        <w:t>promote the highest standards of driv</w:t>
      </w:r>
      <w:r>
        <w:rPr>
          <w:rFonts w:cs="Arial"/>
        </w:rPr>
        <w:t xml:space="preserve">ing conduct within the Trust. </w:t>
      </w:r>
      <w:r w:rsidRPr="009B5390">
        <w:rPr>
          <w:rFonts w:cs="Arial"/>
        </w:rPr>
        <w:t xml:space="preserve">The manner in which Trust vehicles are driven </w:t>
      </w:r>
      <w:r>
        <w:rPr>
          <w:rFonts w:cs="Arial"/>
        </w:rPr>
        <w:t xml:space="preserve">affects the </w:t>
      </w:r>
      <w:r w:rsidRPr="009B5390">
        <w:rPr>
          <w:rFonts w:cs="Arial"/>
        </w:rPr>
        <w:t>public’s perc</w:t>
      </w:r>
      <w:r>
        <w:rPr>
          <w:rFonts w:cs="Arial"/>
        </w:rPr>
        <w:t xml:space="preserve">eption of the Trust </w:t>
      </w:r>
      <w:r w:rsidRPr="009B5390">
        <w:rPr>
          <w:rFonts w:cs="Arial"/>
        </w:rPr>
        <w:t xml:space="preserve">as a professional organisation. All staff must therefore safeguard </w:t>
      </w:r>
      <w:r>
        <w:rPr>
          <w:rFonts w:cs="Arial"/>
        </w:rPr>
        <w:t>the</w:t>
      </w:r>
      <w:r w:rsidRPr="009B5390">
        <w:rPr>
          <w:rFonts w:cs="Arial"/>
        </w:rPr>
        <w:t xml:space="preserve"> Trust’s reputation by displaying high standards of driving and road behaviour at all times</w:t>
      </w:r>
      <w:r>
        <w:rPr>
          <w:rFonts w:cs="Arial"/>
        </w:rPr>
        <w:t>.</w:t>
      </w:r>
    </w:p>
    <w:p w14:paraId="316609DA" w14:textId="77777777" w:rsidR="009E4A8F" w:rsidRPr="00D43B0D" w:rsidRDefault="009E4A8F" w:rsidP="009E4A8F">
      <w:pPr>
        <w:numPr>
          <w:ilvl w:val="1"/>
          <w:numId w:val="2"/>
        </w:numPr>
        <w:spacing w:after="240"/>
        <w:rPr>
          <w:rFonts w:cs="Arial"/>
        </w:rPr>
      </w:pPr>
      <w:r>
        <w:rPr>
          <w:rFonts w:cs="Arial"/>
        </w:rPr>
        <w:t>This procedure applies to all authorised drivers of SECAmb vehicles. Vehicles include those that are owned, hired, leased or borrowed.</w:t>
      </w:r>
    </w:p>
    <w:p w14:paraId="33B4DB00" w14:textId="407B7419" w:rsidR="000954BE" w:rsidRDefault="009E4A8F" w:rsidP="000954BE">
      <w:pPr>
        <w:pStyle w:val="Heading1"/>
        <w:numPr>
          <w:ilvl w:val="0"/>
          <w:numId w:val="2"/>
        </w:numPr>
        <w:rPr>
          <w:b/>
          <w:bCs w:val="0"/>
          <w:sz w:val="28"/>
          <w:szCs w:val="28"/>
        </w:rPr>
      </w:pPr>
      <w:bookmarkStart w:id="4" w:name="_Toc135836936"/>
      <w:bookmarkStart w:id="5" w:name="_Toc135837081"/>
      <w:bookmarkStart w:id="6" w:name="_Toc135901066"/>
      <w:r w:rsidRPr="00F31C24">
        <w:rPr>
          <w:b/>
          <w:bCs w:val="0"/>
          <w:sz w:val="28"/>
          <w:szCs w:val="28"/>
        </w:rPr>
        <w:t>Aims</w:t>
      </w:r>
      <w:bookmarkEnd w:id="4"/>
      <w:bookmarkEnd w:id="5"/>
      <w:bookmarkEnd w:id="6"/>
    </w:p>
    <w:p w14:paraId="5B21A864" w14:textId="77777777" w:rsidR="000954BE" w:rsidRPr="000954BE" w:rsidRDefault="000954BE" w:rsidP="000954BE"/>
    <w:p w14:paraId="4993FCCD" w14:textId="0003FAB0" w:rsidR="00ED0BD0" w:rsidRDefault="009E4A8F" w:rsidP="00D43B0D">
      <w:pPr>
        <w:numPr>
          <w:ilvl w:val="1"/>
          <w:numId w:val="11"/>
        </w:numPr>
        <w:spacing w:after="240"/>
        <w:rPr>
          <w:rFonts w:cs="Arial"/>
        </w:rPr>
      </w:pPr>
      <w:r>
        <w:rPr>
          <w:rFonts w:cs="Arial"/>
        </w:rPr>
        <w:t xml:space="preserve">The aim of this procedure is to ensure that </w:t>
      </w:r>
      <w:r w:rsidRPr="001936BC">
        <w:rPr>
          <w:rFonts w:cs="Arial"/>
        </w:rPr>
        <w:t>all staff for whom driving is an aspect of their job role understand the risks associated with driving, and to describe the processes, actions and assurances which should be followed to promote safety for staff, patients and the public</w:t>
      </w:r>
      <w:r w:rsidR="009321E0">
        <w:rPr>
          <w:rFonts w:cs="Arial"/>
        </w:rPr>
        <w:t>.</w:t>
      </w:r>
    </w:p>
    <w:p w14:paraId="03A578F8" w14:textId="0B7E01D1" w:rsidR="009E4A8F" w:rsidRDefault="009E4A8F" w:rsidP="007977B3">
      <w:pPr>
        <w:pStyle w:val="Heading1"/>
        <w:numPr>
          <w:ilvl w:val="0"/>
          <w:numId w:val="11"/>
        </w:numPr>
        <w:rPr>
          <w:b/>
          <w:bCs w:val="0"/>
          <w:sz w:val="28"/>
          <w:szCs w:val="28"/>
        </w:rPr>
      </w:pPr>
      <w:bookmarkStart w:id="7" w:name="_Toc135836937"/>
      <w:bookmarkStart w:id="8" w:name="_Toc135837082"/>
      <w:bookmarkStart w:id="9" w:name="_Toc135901067"/>
      <w:r w:rsidRPr="007977B3">
        <w:rPr>
          <w:b/>
          <w:bCs w:val="0"/>
          <w:sz w:val="28"/>
          <w:szCs w:val="28"/>
        </w:rPr>
        <w:t>Objectives</w:t>
      </w:r>
      <w:bookmarkEnd w:id="7"/>
      <w:bookmarkEnd w:id="8"/>
      <w:bookmarkEnd w:id="9"/>
    </w:p>
    <w:p w14:paraId="7C186399" w14:textId="77777777" w:rsidR="007977B3" w:rsidRPr="007977B3" w:rsidRDefault="007977B3" w:rsidP="007977B3"/>
    <w:p w14:paraId="37ACA7DD" w14:textId="337DDE8F" w:rsidR="009E4A8F" w:rsidRDefault="009E4A8F" w:rsidP="007977B3">
      <w:pPr>
        <w:pStyle w:val="ListParagraph"/>
        <w:numPr>
          <w:ilvl w:val="1"/>
          <w:numId w:val="11"/>
        </w:numPr>
      </w:pPr>
      <w:bookmarkStart w:id="10" w:name="_Toc493146269"/>
      <w:bookmarkStart w:id="11" w:name="_Toc493147789"/>
      <w:bookmarkStart w:id="12" w:name="_Toc493669205"/>
      <w:bookmarkStart w:id="13" w:name="_Toc135836938"/>
      <w:bookmarkStart w:id="14" w:name="_Toc135837083"/>
      <w:bookmarkStart w:id="15" w:name="_Toc485909073"/>
      <w:r>
        <w:t>To ensure the safety and wellbeing of staff, patients, passengers and other road users.</w:t>
      </w:r>
      <w:bookmarkEnd w:id="10"/>
      <w:bookmarkEnd w:id="11"/>
      <w:bookmarkEnd w:id="12"/>
      <w:bookmarkEnd w:id="13"/>
      <w:bookmarkEnd w:id="14"/>
      <w:r>
        <w:t xml:space="preserve">  </w:t>
      </w:r>
    </w:p>
    <w:p w14:paraId="7ECFD1B0" w14:textId="77777777" w:rsidR="007977B3" w:rsidRPr="000954BE" w:rsidRDefault="007977B3" w:rsidP="007977B3">
      <w:pPr>
        <w:rPr>
          <w:b/>
        </w:rPr>
      </w:pPr>
    </w:p>
    <w:p w14:paraId="75B094E3" w14:textId="62BA1460" w:rsidR="009E4A8F" w:rsidRDefault="009E4A8F" w:rsidP="007977B3">
      <w:pPr>
        <w:pStyle w:val="ListParagraph"/>
        <w:numPr>
          <w:ilvl w:val="1"/>
          <w:numId w:val="11"/>
        </w:numPr>
      </w:pPr>
      <w:bookmarkStart w:id="16" w:name="_Toc493146270"/>
      <w:bookmarkStart w:id="17" w:name="_Toc493147790"/>
      <w:bookmarkStart w:id="18" w:name="_Toc493669206"/>
      <w:bookmarkStart w:id="19" w:name="_Toc135836939"/>
      <w:bookmarkStart w:id="20" w:name="_Toc135837084"/>
      <w:r w:rsidRPr="009B5390">
        <w:t>T</w:t>
      </w:r>
      <w:r>
        <w:t>o ensure that all drivers maintain</w:t>
      </w:r>
      <w:r w:rsidRPr="009B5390">
        <w:t xml:space="preserve"> a thorough working knowledge of the Highway Code, appropriate current supporting training and education material, policies, procedures, bulletins and information that is circulated within the organisation</w:t>
      </w:r>
      <w:r>
        <w:t>.</w:t>
      </w:r>
      <w:bookmarkEnd w:id="16"/>
      <w:bookmarkEnd w:id="17"/>
      <w:bookmarkEnd w:id="18"/>
      <w:bookmarkEnd w:id="19"/>
      <w:bookmarkEnd w:id="20"/>
    </w:p>
    <w:p w14:paraId="17ACA522" w14:textId="77777777" w:rsidR="007977B3" w:rsidRPr="00E6411B" w:rsidRDefault="007977B3" w:rsidP="007977B3">
      <w:pPr>
        <w:rPr>
          <w:b/>
        </w:rPr>
      </w:pPr>
    </w:p>
    <w:p w14:paraId="124CACDF" w14:textId="7ECFF9B7" w:rsidR="009E4A8F" w:rsidRDefault="009E4A8F" w:rsidP="007977B3">
      <w:pPr>
        <w:pStyle w:val="ListParagraph"/>
        <w:numPr>
          <w:ilvl w:val="1"/>
          <w:numId w:val="11"/>
        </w:numPr>
      </w:pPr>
      <w:bookmarkStart w:id="21" w:name="_Toc493146271"/>
      <w:bookmarkStart w:id="22" w:name="_Toc493147791"/>
      <w:bookmarkStart w:id="23" w:name="_Toc493669207"/>
      <w:bookmarkStart w:id="24" w:name="_Toc135836940"/>
      <w:bookmarkStart w:id="25" w:name="_Toc135837085"/>
      <w:r>
        <w:t xml:space="preserve">To </w:t>
      </w:r>
      <w:r w:rsidRPr="00A2324A">
        <w:t xml:space="preserve">eliminate or minimise the </w:t>
      </w:r>
      <w:r>
        <w:t>incidents and harm</w:t>
      </w:r>
      <w:r w:rsidRPr="00A2324A">
        <w:t xml:space="preserve"> caused by driving and provide instruction and guidance to managers and employees on all aspects of driving for and on behalf of the Trust.  Working together with staff, the Trust is committed to </w:t>
      </w:r>
      <w:r>
        <w:t xml:space="preserve">the use of </w:t>
      </w:r>
      <w:r w:rsidRPr="00A2324A">
        <w:t>a</w:t>
      </w:r>
      <w:r>
        <w:t>n</w:t>
      </w:r>
      <w:r w:rsidRPr="00A2324A">
        <w:t xml:space="preserve"> effective risk management system to reduce the number and consequences of vehicle related incidents and road traffic collisions.</w:t>
      </w:r>
      <w:r>
        <w:t xml:space="preserve"> (Driving Standards Accident and Incident Reporting Procedure)</w:t>
      </w:r>
      <w:bookmarkEnd w:id="21"/>
      <w:bookmarkEnd w:id="22"/>
      <w:bookmarkEnd w:id="23"/>
      <w:bookmarkEnd w:id="24"/>
      <w:bookmarkEnd w:id="25"/>
    </w:p>
    <w:p w14:paraId="0BABE270" w14:textId="77777777" w:rsidR="007977B3" w:rsidRPr="002A0AC0" w:rsidRDefault="007977B3" w:rsidP="007977B3">
      <w:pPr>
        <w:rPr>
          <w:b/>
        </w:rPr>
      </w:pPr>
    </w:p>
    <w:p w14:paraId="0177891B" w14:textId="784BA426" w:rsidR="00752C07" w:rsidRPr="00F63CDD" w:rsidRDefault="009E4A8F" w:rsidP="00F63CDD">
      <w:pPr>
        <w:pStyle w:val="ListParagraph"/>
        <w:numPr>
          <w:ilvl w:val="1"/>
          <w:numId w:val="11"/>
        </w:numPr>
        <w:rPr>
          <w:b/>
        </w:rPr>
      </w:pPr>
      <w:bookmarkStart w:id="26" w:name="_Toc493146272"/>
      <w:bookmarkStart w:id="27" w:name="_Toc493147792"/>
      <w:bookmarkStart w:id="28" w:name="_Toc493669208"/>
      <w:bookmarkStart w:id="29" w:name="_Toc135836941"/>
      <w:bookmarkStart w:id="30" w:name="_Toc135837086"/>
      <w:r>
        <w:t xml:space="preserve">To provide </w:t>
      </w:r>
      <w:r w:rsidRPr="0097282F">
        <w:t>guidance to all drivers in support of their legal and professional responsibilities in driving on SECAmb business and when claiming legal exemptions</w:t>
      </w:r>
      <w:r>
        <w:t>.</w:t>
      </w:r>
      <w:bookmarkEnd w:id="26"/>
      <w:bookmarkEnd w:id="27"/>
      <w:bookmarkEnd w:id="28"/>
      <w:bookmarkEnd w:id="29"/>
      <w:bookmarkEnd w:id="30"/>
    </w:p>
    <w:p w14:paraId="5B3AB4D2" w14:textId="77777777" w:rsidR="00F63CDD" w:rsidRPr="00F63CDD" w:rsidRDefault="00F63CDD" w:rsidP="00F63CDD">
      <w:pPr>
        <w:rPr>
          <w:b/>
        </w:rPr>
      </w:pPr>
    </w:p>
    <w:p w14:paraId="22CDE4B4" w14:textId="1F57E7F0" w:rsidR="009E4A8F" w:rsidRDefault="009E4A8F" w:rsidP="007977B3">
      <w:pPr>
        <w:pStyle w:val="ListParagraph"/>
        <w:numPr>
          <w:ilvl w:val="1"/>
          <w:numId w:val="11"/>
        </w:numPr>
      </w:pPr>
      <w:bookmarkStart w:id="31" w:name="_Toc493146273"/>
      <w:bookmarkStart w:id="32" w:name="_Toc493147793"/>
      <w:bookmarkStart w:id="33" w:name="_Toc493669209"/>
      <w:bookmarkStart w:id="34" w:name="_Toc135836942"/>
      <w:bookmarkStart w:id="35" w:name="_Toc135837087"/>
      <w:r w:rsidRPr="00A2324A">
        <w:lastRenderedPageBreak/>
        <w:t>T</w:t>
      </w:r>
      <w:r>
        <w:t xml:space="preserve">o </w:t>
      </w:r>
      <w:r w:rsidRPr="00A2324A">
        <w:t xml:space="preserve">acknowledge the risks </w:t>
      </w:r>
      <w:r>
        <w:t xml:space="preserve">associated with </w:t>
      </w:r>
      <w:r w:rsidRPr="00A2324A">
        <w:t>driving, particularly when driving under emergency conditions</w:t>
      </w:r>
      <w:r>
        <w:t>.</w:t>
      </w:r>
      <w:bookmarkEnd w:id="31"/>
      <w:bookmarkEnd w:id="32"/>
      <w:bookmarkEnd w:id="33"/>
      <w:bookmarkEnd w:id="34"/>
      <w:bookmarkEnd w:id="35"/>
    </w:p>
    <w:p w14:paraId="0A69B177" w14:textId="77777777" w:rsidR="007977B3" w:rsidRPr="00E76555" w:rsidRDefault="007977B3" w:rsidP="007977B3">
      <w:pPr>
        <w:rPr>
          <w:b/>
        </w:rPr>
      </w:pPr>
    </w:p>
    <w:p w14:paraId="4FCB83B7" w14:textId="4118B15D" w:rsidR="009E4A8F" w:rsidRDefault="009E4A8F" w:rsidP="007977B3">
      <w:pPr>
        <w:pStyle w:val="ListParagraph"/>
        <w:numPr>
          <w:ilvl w:val="1"/>
          <w:numId w:val="11"/>
        </w:numPr>
      </w:pPr>
      <w:bookmarkStart w:id="36" w:name="_Toc493146274"/>
      <w:bookmarkStart w:id="37" w:name="_Toc493147794"/>
      <w:bookmarkStart w:id="38" w:name="_Toc493669210"/>
      <w:bookmarkStart w:id="39" w:name="_Toc135836943"/>
      <w:bookmarkStart w:id="40" w:name="_Toc135837088"/>
      <w:r w:rsidRPr="00076948">
        <w:t xml:space="preserve">All drivers are </w:t>
      </w:r>
      <w:r>
        <w:t xml:space="preserve">obliged under </w:t>
      </w:r>
      <w:r w:rsidRPr="00076948">
        <w:t>the Corporate Manslaughter and Homicide Act 2007, the Road Traffic Act 1988 and the Road Safety Act 2006 to afford, at all times, the maximum protection to other road users and to drive with care and consideration for other road users. At no time must the vehicle be driven recklessly, or in a manner, or at a speed likely to cause danger to another road user (including those near to but not on the road)</w:t>
      </w:r>
      <w:r>
        <w:t>.</w:t>
      </w:r>
      <w:bookmarkEnd w:id="36"/>
      <w:bookmarkEnd w:id="37"/>
      <w:bookmarkEnd w:id="38"/>
      <w:bookmarkEnd w:id="39"/>
      <w:bookmarkEnd w:id="40"/>
    </w:p>
    <w:p w14:paraId="6B59198B" w14:textId="77777777" w:rsidR="007977B3" w:rsidRDefault="007977B3" w:rsidP="007977B3"/>
    <w:p w14:paraId="4D88D168" w14:textId="00E271C2" w:rsidR="009E4A8F" w:rsidRDefault="009E4A8F" w:rsidP="007977B3">
      <w:pPr>
        <w:pStyle w:val="ListParagraph"/>
        <w:numPr>
          <w:ilvl w:val="1"/>
          <w:numId w:val="11"/>
        </w:numPr>
      </w:pPr>
      <w:bookmarkStart w:id="41" w:name="_Toc493146275"/>
      <w:bookmarkStart w:id="42" w:name="_Toc493147795"/>
      <w:bookmarkStart w:id="43" w:name="_Toc493669211"/>
      <w:bookmarkStart w:id="44" w:name="_Toc135836944"/>
      <w:bookmarkStart w:id="45" w:name="_Toc135837089"/>
      <w:r w:rsidRPr="00076948">
        <w:t>All members of staff who are required to drive as part of their duties must hold a valid driving licence, appropriate for the type of vehicle.</w:t>
      </w:r>
      <w:bookmarkEnd w:id="41"/>
      <w:bookmarkEnd w:id="42"/>
      <w:bookmarkEnd w:id="43"/>
      <w:bookmarkEnd w:id="44"/>
      <w:bookmarkEnd w:id="45"/>
      <w:r w:rsidRPr="00076948">
        <w:t xml:space="preserve"> </w:t>
      </w:r>
    </w:p>
    <w:p w14:paraId="0A32C9AA" w14:textId="77777777" w:rsidR="007977B3" w:rsidRPr="00076948" w:rsidRDefault="007977B3" w:rsidP="00F63CDD"/>
    <w:bookmarkEnd w:id="15"/>
    <w:p w14:paraId="14D65907" w14:textId="77777777" w:rsidR="009E4A8F" w:rsidRPr="00E76555" w:rsidRDefault="009E4A8F" w:rsidP="007977B3">
      <w:pPr>
        <w:pStyle w:val="ListParagraph"/>
        <w:numPr>
          <w:ilvl w:val="1"/>
          <w:numId w:val="11"/>
        </w:numPr>
      </w:pPr>
      <w:r w:rsidRPr="00E76555">
        <w:t xml:space="preserve">Drivers of Trust vehicles adhere to the level of training and standards commensurate with their role. </w:t>
      </w:r>
    </w:p>
    <w:p w14:paraId="256E6309" w14:textId="27376242" w:rsidR="009E4A8F" w:rsidRPr="000954BE" w:rsidRDefault="009E4A8F" w:rsidP="000954BE">
      <w:pPr>
        <w:pStyle w:val="Heading1"/>
        <w:numPr>
          <w:ilvl w:val="0"/>
          <w:numId w:val="2"/>
        </w:numPr>
        <w:rPr>
          <w:b/>
          <w:bCs w:val="0"/>
          <w:sz w:val="28"/>
          <w:szCs w:val="28"/>
        </w:rPr>
      </w:pPr>
      <w:bookmarkStart w:id="46" w:name="_Toc135836945"/>
      <w:bookmarkStart w:id="47" w:name="_Toc135837090"/>
      <w:bookmarkStart w:id="48" w:name="_Toc135901068"/>
      <w:r w:rsidRPr="000954BE">
        <w:rPr>
          <w:b/>
          <w:bCs w:val="0"/>
          <w:sz w:val="28"/>
          <w:szCs w:val="28"/>
        </w:rPr>
        <w:t>Principles</w:t>
      </w:r>
      <w:bookmarkEnd w:id="46"/>
      <w:bookmarkEnd w:id="47"/>
      <w:bookmarkEnd w:id="48"/>
    </w:p>
    <w:p w14:paraId="6FDBABAE" w14:textId="30C823EA" w:rsidR="009E4A8F" w:rsidRDefault="009E4A8F" w:rsidP="007977B3">
      <w:pPr>
        <w:pStyle w:val="ListParagraph"/>
        <w:numPr>
          <w:ilvl w:val="1"/>
          <w:numId w:val="2"/>
        </w:numPr>
        <w:rPr>
          <w:b/>
          <w:bCs/>
        </w:rPr>
      </w:pPr>
      <w:r w:rsidRPr="007977B3">
        <w:rPr>
          <w:b/>
          <w:bCs/>
        </w:rPr>
        <w:t>Contracted Drivers</w:t>
      </w:r>
    </w:p>
    <w:p w14:paraId="0916A393" w14:textId="77777777" w:rsidR="007977B3" w:rsidRPr="007977B3" w:rsidRDefault="007977B3" w:rsidP="007977B3">
      <w:pPr>
        <w:pStyle w:val="ListParagraph"/>
        <w:ind w:left="1162"/>
        <w:rPr>
          <w:b/>
          <w:bCs/>
        </w:rPr>
      </w:pPr>
    </w:p>
    <w:p w14:paraId="59561E7B" w14:textId="68C2180B" w:rsidR="009E4A8F" w:rsidRPr="007977B3" w:rsidRDefault="009E4A8F" w:rsidP="007977B3">
      <w:pPr>
        <w:pStyle w:val="ListParagraph"/>
        <w:numPr>
          <w:ilvl w:val="2"/>
          <w:numId w:val="2"/>
        </w:numPr>
        <w:rPr>
          <w:szCs w:val="28"/>
        </w:rPr>
      </w:pPr>
      <w:r>
        <w:t>Contractors, such as private ambulance providers, will provide assurances to the Trust, as specified in the contractual arrangements, with regard to driver training, vehicles and equipment.</w:t>
      </w:r>
    </w:p>
    <w:p w14:paraId="79213B6E" w14:textId="77777777" w:rsidR="007977B3" w:rsidRPr="007977B3" w:rsidRDefault="007977B3" w:rsidP="007977B3">
      <w:pPr>
        <w:rPr>
          <w:szCs w:val="28"/>
        </w:rPr>
      </w:pPr>
    </w:p>
    <w:p w14:paraId="50BB76E6" w14:textId="4B7A60E5" w:rsidR="007977B3" w:rsidRPr="007977B3" w:rsidRDefault="009E4A8F" w:rsidP="007977B3">
      <w:pPr>
        <w:pStyle w:val="ListParagraph"/>
        <w:numPr>
          <w:ilvl w:val="2"/>
          <w:numId w:val="2"/>
        </w:numPr>
        <w:rPr>
          <w:szCs w:val="28"/>
        </w:rPr>
      </w:pPr>
      <w:r>
        <w:t>Drivers will follow all aspects of this Procedure and associated Policy and Procedures as they relate to legislative and regulatory driving requirements, Trust approved driving standards, safety and incident reporting.</w:t>
      </w:r>
    </w:p>
    <w:p w14:paraId="0D31F61D" w14:textId="77777777" w:rsidR="007977B3" w:rsidRPr="007977B3" w:rsidRDefault="007977B3" w:rsidP="007977B3">
      <w:pPr>
        <w:pStyle w:val="ListParagraph"/>
        <w:ind w:left="1162"/>
        <w:rPr>
          <w:szCs w:val="28"/>
        </w:rPr>
      </w:pPr>
    </w:p>
    <w:p w14:paraId="37A93D0E" w14:textId="194BF1BD" w:rsidR="009E4A8F" w:rsidRPr="007977B3" w:rsidRDefault="009E4A8F" w:rsidP="007977B3">
      <w:pPr>
        <w:pStyle w:val="ListParagraph"/>
        <w:numPr>
          <w:ilvl w:val="2"/>
          <w:numId w:val="2"/>
        </w:numPr>
        <w:rPr>
          <w:szCs w:val="28"/>
        </w:rPr>
      </w:pPr>
      <w:r>
        <w:t>Managers responsible for arranging sub-contractors are responsible for collating the necessary compliance and assurance evidence relating to driving.</w:t>
      </w:r>
    </w:p>
    <w:p w14:paraId="50FC62C0" w14:textId="77777777" w:rsidR="007977B3" w:rsidRPr="007977B3" w:rsidRDefault="007977B3" w:rsidP="007977B3">
      <w:pPr>
        <w:pStyle w:val="ListParagraph"/>
        <w:rPr>
          <w:szCs w:val="28"/>
        </w:rPr>
      </w:pPr>
    </w:p>
    <w:p w14:paraId="1185B1A3" w14:textId="77777777" w:rsidR="007977B3" w:rsidRPr="007977B3" w:rsidRDefault="007977B3" w:rsidP="007977B3">
      <w:pPr>
        <w:pStyle w:val="ListParagraph"/>
        <w:ind w:left="1162"/>
        <w:rPr>
          <w:szCs w:val="28"/>
        </w:rPr>
      </w:pPr>
    </w:p>
    <w:p w14:paraId="72981B9F" w14:textId="7B24FAE7" w:rsidR="009E4A8F" w:rsidRDefault="009E4A8F" w:rsidP="007977B3">
      <w:pPr>
        <w:pStyle w:val="ListParagraph"/>
        <w:numPr>
          <w:ilvl w:val="1"/>
          <w:numId w:val="2"/>
        </w:numPr>
        <w:rPr>
          <w:b/>
          <w:bCs/>
        </w:rPr>
      </w:pPr>
      <w:r w:rsidRPr="007977B3">
        <w:rPr>
          <w:b/>
          <w:bCs/>
        </w:rPr>
        <w:t>Vehicle Insurance</w:t>
      </w:r>
    </w:p>
    <w:p w14:paraId="54BA6BA0" w14:textId="77777777" w:rsidR="007977B3" w:rsidRPr="007977B3" w:rsidRDefault="007977B3" w:rsidP="007977B3">
      <w:pPr>
        <w:pStyle w:val="ListParagraph"/>
        <w:ind w:left="1162"/>
        <w:rPr>
          <w:b/>
          <w:bCs/>
        </w:rPr>
      </w:pPr>
    </w:p>
    <w:p w14:paraId="65FA9E1D" w14:textId="6905155B" w:rsidR="007977B3" w:rsidRDefault="009E4A8F" w:rsidP="007977B3">
      <w:pPr>
        <w:pStyle w:val="ListParagraph"/>
        <w:numPr>
          <w:ilvl w:val="2"/>
          <w:numId w:val="2"/>
        </w:numPr>
        <w:rPr>
          <w:bCs/>
          <w:szCs w:val="28"/>
        </w:rPr>
      </w:pPr>
      <w:r w:rsidRPr="007977B3">
        <w:rPr>
          <w:bCs/>
          <w:szCs w:val="28"/>
        </w:rPr>
        <w:t>The Trust is responsible for ensuring that all Trust vehicles, including leased / hired vehicles, are correctly insured for use when operating on Trust business. In addition, the Trust will be responsible for ensuring that employees who pay a financial contribution for personal use of such vehicles will have additional cover for Social, Domestic</w:t>
      </w:r>
      <w:r w:rsidR="001D4535" w:rsidRPr="007977B3">
        <w:rPr>
          <w:bCs/>
          <w:szCs w:val="28"/>
        </w:rPr>
        <w:t>, Commuting</w:t>
      </w:r>
      <w:r w:rsidRPr="007977B3">
        <w:rPr>
          <w:bCs/>
          <w:szCs w:val="28"/>
        </w:rPr>
        <w:t xml:space="preserve"> and Pleasure purposes.</w:t>
      </w:r>
    </w:p>
    <w:p w14:paraId="03113B20" w14:textId="77777777" w:rsidR="007977B3" w:rsidRPr="007977B3" w:rsidRDefault="007977B3" w:rsidP="007977B3">
      <w:pPr>
        <w:pStyle w:val="ListParagraph"/>
        <w:ind w:left="1162"/>
        <w:rPr>
          <w:bCs/>
          <w:szCs w:val="28"/>
        </w:rPr>
      </w:pPr>
    </w:p>
    <w:p w14:paraId="5999CB8B" w14:textId="0CEC1E93" w:rsidR="009E4A8F" w:rsidRDefault="009E4A8F" w:rsidP="007977B3">
      <w:pPr>
        <w:pStyle w:val="ListParagraph"/>
        <w:numPr>
          <w:ilvl w:val="2"/>
          <w:numId w:val="2"/>
        </w:numPr>
        <w:rPr>
          <w:bCs/>
          <w:szCs w:val="28"/>
        </w:rPr>
      </w:pPr>
      <w:r w:rsidRPr="007977B3">
        <w:rPr>
          <w:bCs/>
          <w:szCs w:val="28"/>
        </w:rPr>
        <w:t>Where employees use their own car for Trust purposes, they are responsible for making provision with their insurance company that they have the relevant cover for the journeys they undertake.</w:t>
      </w:r>
    </w:p>
    <w:p w14:paraId="781427DB" w14:textId="77777777" w:rsidR="007977B3" w:rsidRPr="007977B3" w:rsidRDefault="007977B3" w:rsidP="007977B3">
      <w:pPr>
        <w:pStyle w:val="ListParagraph"/>
        <w:rPr>
          <w:bCs/>
          <w:szCs w:val="28"/>
        </w:rPr>
      </w:pPr>
    </w:p>
    <w:p w14:paraId="595DA1C7" w14:textId="77777777" w:rsidR="007977B3" w:rsidRPr="007977B3" w:rsidRDefault="007977B3" w:rsidP="007977B3">
      <w:pPr>
        <w:pStyle w:val="ListParagraph"/>
        <w:ind w:left="1162"/>
        <w:rPr>
          <w:bCs/>
          <w:szCs w:val="28"/>
        </w:rPr>
      </w:pPr>
    </w:p>
    <w:p w14:paraId="7C226E28" w14:textId="77777777" w:rsidR="009E4A8F" w:rsidRPr="007977B3" w:rsidRDefault="009E4A8F" w:rsidP="007977B3">
      <w:pPr>
        <w:pStyle w:val="ListParagraph"/>
        <w:numPr>
          <w:ilvl w:val="1"/>
          <w:numId w:val="2"/>
        </w:numPr>
        <w:rPr>
          <w:b/>
          <w:szCs w:val="28"/>
        </w:rPr>
      </w:pPr>
      <w:r w:rsidRPr="007977B3">
        <w:rPr>
          <w:b/>
          <w:szCs w:val="28"/>
        </w:rPr>
        <w:t>Vehicle Excise Licence</w:t>
      </w:r>
    </w:p>
    <w:p w14:paraId="4FE8EC7E" w14:textId="0FCAA286" w:rsidR="009E4A8F" w:rsidRDefault="009E4A8F" w:rsidP="001059E8">
      <w:pPr>
        <w:pStyle w:val="ListParagraph"/>
        <w:numPr>
          <w:ilvl w:val="2"/>
          <w:numId w:val="2"/>
        </w:numPr>
        <w:rPr>
          <w:bCs/>
          <w:szCs w:val="28"/>
        </w:rPr>
      </w:pPr>
      <w:r w:rsidRPr="001059E8">
        <w:rPr>
          <w:bCs/>
          <w:szCs w:val="28"/>
        </w:rPr>
        <w:lastRenderedPageBreak/>
        <w:t>The Trust will renew the electronic vehicle excise licences on all Trust owned vehicles, and will be responsible for ensuring that all vehicles have a valid electronic vehicle excise licence.</w:t>
      </w:r>
    </w:p>
    <w:p w14:paraId="6BC9A1EE" w14:textId="77777777" w:rsidR="001059E8" w:rsidRPr="001059E8" w:rsidRDefault="001059E8" w:rsidP="001059E8">
      <w:pPr>
        <w:pStyle w:val="ListParagraph"/>
        <w:ind w:left="1162"/>
        <w:rPr>
          <w:bCs/>
          <w:szCs w:val="28"/>
        </w:rPr>
      </w:pPr>
    </w:p>
    <w:p w14:paraId="35C57045" w14:textId="63A8A2C2" w:rsidR="009E4A8F" w:rsidRDefault="009E4A8F" w:rsidP="001059E8">
      <w:pPr>
        <w:pStyle w:val="ListParagraph"/>
        <w:numPr>
          <w:ilvl w:val="2"/>
          <w:numId w:val="2"/>
        </w:numPr>
        <w:rPr>
          <w:bCs/>
          <w:szCs w:val="28"/>
        </w:rPr>
      </w:pPr>
      <w:r w:rsidRPr="001059E8">
        <w:rPr>
          <w:bCs/>
          <w:szCs w:val="28"/>
        </w:rPr>
        <w:t xml:space="preserve">The leasing / hiring company owns leased vehicles and they are responsible for renewing the excise licence. </w:t>
      </w:r>
    </w:p>
    <w:p w14:paraId="53A9D191" w14:textId="77777777" w:rsidR="001059E8" w:rsidRPr="001059E8" w:rsidRDefault="001059E8" w:rsidP="001059E8">
      <w:pPr>
        <w:pStyle w:val="ListParagraph"/>
        <w:rPr>
          <w:bCs/>
          <w:szCs w:val="28"/>
        </w:rPr>
      </w:pPr>
    </w:p>
    <w:p w14:paraId="5778E303" w14:textId="77777777" w:rsidR="001059E8" w:rsidRPr="001059E8" w:rsidRDefault="001059E8" w:rsidP="001059E8">
      <w:pPr>
        <w:pStyle w:val="ListParagraph"/>
        <w:ind w:left="1162"/>
        <w:rPr>
          <w:bCs/>
          <w:szCs w:val="28"/>
        </w:rPr>
      </w:pPr>
    </w:p>
    <w:p w14:paraId="7270E061" w14:textId="7C4BB069" w:rsidR="009E4A8F" w:rsidRDefault="009E4A8F" w:rsidP="001059E8">
      <w:pPr>
        <w:pStyle w:val="ListParagraph"/>
        <w:numPr>
          <w:ilvl w:val="1"/>
          <w:numId w:val="2"/>
        </w:numPr>
        <w:rPr>
          <w:b/>
          <w:szCs w:val="28"/>
        </w:rPr>
      </w:pPr>
      <w:r w:rsidRPr="001059E8">
        <w:rPr>
          <w:b/>
          <w:szCs w:val="28"/>
        </w:rPr>
        <w:t>MOT Inspection and Certification</w:t>
      </w:r>
    </w:p>
    <w:p w14:paraId="7EBBB2A3" w14:textId="77777777" w:rsidR="001059E8" w:rsidRPr="001059E8" w:rsidRDefault="001059E8" w:rsidP="001059E8">
      <w:pPr>
        <w:pStyle w:val="ListParagraph"/>
        <w:ind w:left="1162"/>
        <w:rPr>
          <w:b/>
          <w:szCs w:val="28"/>
        </w:rPr>
      </w:pPr>
    </w:p>
    <w:p w14:paraId="6F5CD6DB" w14:textId="54713E26" w:rsidR="009E4A8F" w:rsidRDefault="009E4A8F" w:rsidP="001059E8">
      <w:pPr>
        <w:pStyle w:val="ListParagraph"/>
        <w:numPr>
          <w:ilvl w:val="2"/>
          <w:numId w:val="2"/>
        </w:numPr>
        <w:rPr>
          <w:bCs/>
          <w:szCs w:val="28"/>
        </w:rPr>
      </w:pPr>
      <w:r w:rsidRPr="001059E8">
        <w:rPr>
          <w:bCs/>
          <w:szCs w:val="28"/>
        </w:rPr>
        <w:t xml:space="preserve">All Trust vehicles are tested according to the legal requirements of the vehicle type as a minimum. </w:t>
      </w:r>
    </w:p>
    <w:p w14:paraId="176A2906" w14:textId="77777777" w:rsidR="001059E8" w:rsidRPr="001059E8" w:rsidRDefault="001059E8" w:rsidP="001059E8">
      <w:pPr>
        <w:pStyle w:val="ListParagraph"/>
        <w:ind w:left="1162"/>
        <w:rPr>
          <w:bCs/>
          <w:szCs w:val="28"/>
        </w:rPr>
      </w:pPr>
    </w:p>
    <w:p w14:paraId="57AB85DF" w14:textId="4BA4541A" w:rsidR="009E4A8F" w:rsidRDefault="009E4A8F" w:rsidP="001059E8">
      <w:pPr>
        <w:pStyle w:val="ListParagraph"/>
        <w:numPr>
          <w:ilvl w:val="2"/>
          <w:numId w:val="2"/>
        </w:numPr>
        <w:rPr>
          <w:bCs/>
          <w:szCs w:val="28"/>
        </w:rPr>
      </w:pPr>
      <w:r w:rsidRPr="001059E8">
        <w:rPr>
          <w:bCs/>
          <w:szCs w:val="28"/>
        </w:rPr>
        <w:t xml:space="preserve">The Trust (via the Fleet Department) is responsible for ensuring that all vehicles owned by the Trust comply. </w:t>
      </w:r>
    </w:p>
    <w:p w14:paraId="7A3B5111" w14:textId="77777777" w:rsidR="001059E8" w:rsidRPr="00F63CDD" w:rsidRDefault="001059E8" w:rsidP="00F63CDD">
      <w:pPr>
        <w:rPr>
          <w:bCs/>
          <w:szCs w:val="28"/>
        </w:rPr>
      </w:pPr>
    </w:p>
    <w:p w14:paraId="6A3B8EA8" w14:textId="4AF94778" w:rsidR="009E4A8F" w:rsidRDefault="009E4A8F" w:rsidP="001059E8">
      <w:pPr>
        <w:pStyle w:val="ListParagraph"/>
        <w:numPr>
          <w:ilvl w:val="2"/>
          <w:numId w:val="2"/>
        </w:numPr>
        <w:rPr>
          <w:bCs/>
          <w:szCs w:val="28"/>
        </w:rPr>
      </w:pPr>
      <w:r w:rsidRPr="001059E8">
        <w:rPr>
          <w:bCs/>
          <w:szCs w:val="28"/>
        </w:rPr>
        <w:t>For non-Trust vehicles, it is the driver / owner’s responsibility to ensure the vehicle has a valid MOT.</w:t>
      </w:r>
    </w:p>
    <w:p w14:paraId="5837B0D7" w14:textId="77777777" w:rsidR="001059E8" w:rsidRPr="001059E8" w:rsidRDefault="001059E8" w:rsidP="001059E8">
      <w:pPr>
        <w:pStyle w:val="ListParagraph"/>
        <w:ind w:left="1162"/>
        <w:rPr>
          <w:bCs/>
          <w:szCs w:val="28"/>
        </w:rPr>
      </w:pPr>
    </w:p>
    <w:p w14:paraId="09DCAA49" w14:textId="73CC4CDA" w:rsidR="009E4A8F" w:rsidRDefault="009E4A8F" w:rsidP="001059E8">
      <w:pPr>
        <w:pStyle w:val="ListParagraph"/>
        <w:numPr>
          <w:ilvl w:val="2"/>
          <w:numId w:val="2"/>
        </w:numPr>
        <w:rPr>
          <w:bCs/>
          <w:szCs w:val="28"/>
        </w:rPr>
      </w:pPr>
      <w:r w:rsidRPr="001059E8">
        <w:rPr>
          <w:bCs/>
          <w:szCs w:val="28"/>
        </w:rPr>
        <w:t>For leased cars it is the designated driver’s responsibility to arrange for the MOT inspection when due.</w:t>
      </w:r>
    </w:p>
    <w:p w14:paraId="7FAD4419" w14:textId="77777777" w:rsidR="001059E8" w:rsidRPr="001059E8" w:rsidRDefault="001059E8" w:rsidP="001059E8">
      <w:pPr>
        <w:pStyle w:val="ListParagraph"/>
        <w:ind w:left="1162"/>
        <w:rPr>
          <w:bCs/>
          <w:szCs w:val="28"/>
        </w:rPr>
      </w:pPr>
    </w:p>
    <w:p w14:paraId="717D7188" w14:textId="50B2C32B" w:rsidR="009E4A8F" w:rsidRDefault="009E4A8F" w:rsidP="001059E8">
      <w:pPr>
        <w:pStyle w:val="ListParagraph"/>
        <w:numPr>
          <w:ilvl w:val="2"/>
          <w:numId w:val="2"/>
        </w:numPr>
        <w:rPr>
          <w:bCs/>
          <w:szCs w:val="28"/>
        </w:rPr>
      </w:pPr>
      <w:r w:rsidRPr="001059E8">
        <w:rPr>
          <w:bCs/>
          <w:szCs w:val="28"/>
        </w:rPr>
        <w:t>Although MOT certificates are valid for one year, this does not guarantee that the vehicle is roadworthy, all drivers have a responsibility to ensure the vehicles is roadworthy, safe and fit for purpose.</w:t>
      </w:r>
    </w:p>
    <w:p w14:paraId="2346E703" w14:textId="77777777" w:rsidR="001059E8" w:rsidRPr="001059E8" w:rsidRDefault="001059E8" w:rsidP="001059E8">
      <w:pPr>
        <w:pStyle w:val="ListParagraph"/>
        <w:rPr>
          <w:bCs/>
          <w:szCs w:val="28"/>
        </w:rPr>
      </w:pPr>
    </w:p>
    <w:p w14:paraId="74F62DC5" w14:textId="77777777" w:rsidR="001059E8" w:rsidRPr="001059E8" w:rsidRDefault="001059E8" w:rsidP="001059E8">
      <w:pPr>
        <w:pStyle w:val="ListParagraph"/>
        <w:ind w:left="1162"/>
        <w:rPr>
          <w:bCs/>
          <w:szCs w:val="28"/>
        </w:rPr>
      </w:pPr>
    </w:p>
    <w:p w14:paraId="74796564" w14:textId="40E3BF65" w:rsidR="009E4A8F" w:rsidRDefault="009E4A8F" w:rsidP="001059E8">
      <w:pPr>
        <w:pStyle w:val="ListParagraph"/>
        <w:numPr>
          <w:ilvl w:val="1"/>
          <w:numId w:val="2"/>
        </w:numPr>
        <w:rPr>
          <w:b/>
          <w:szCs w:val="28"/>
        </w:rPr>
      </w:pPr>
      <w:r w:rsidRPr="001059E8">
        <w:rPr>
          <w:b/>
          <w:szCs w:val="28"/>
        </w:rPr>
        <w:t>Vehicle Servicing and Maintenance</w:t>
      </w:r>
    </w:p>
    <w:p w14:paraId="7C325077" w14:textId="77777777" w:rsidR="001059E8" w:rsidRPr="001059E8" w:rsidRDefault="001059E8" w:rsidP="001059E8">
      <w:pPr>
        <w:pStyle w:val="ListParagraph"/>
        <w:ind w:left="1162"/>
        <w:rPr>
          <w:b/>
          <w:szCs w:val="28"/>
        </w:rPr>
      </w:pPr>
    </w:p>
    <w:p w14:paraId="35BB6E25" w14:textId="77777777" w:rsidR="001059E8" w:rsidRDefault="009E4A8F" w:rsidP="001059E8">
      <w:pPr>
        <w:pStyle w:val="ListParagraph"/>
        <w:numPr>
          <w:ilvl w:val="2"/>
          <w:numId w:val="2"/>
        </w:numPr>
        <w:rPr>
          <w:bCs/>
          <w:szCs w:val="28"/>
        </w:rPr>
      </w:pPr>
      <w:r w:rsidRPr="001059E8">
        <w:rPr>
          <w:bCs/>
          <w:szCs w:val="28"/>
        </w:rPr>
        <w:t>As a minimum the manufacturer’s recommended servicing intervals should be adhered to and be arranged by the Fleet Department in the case of Trust owned vehicles.</w:t>
      </w:r>
    </w:p>
    <w:p w14:paraId="70339840" w14:textId="49FACDF1" w:rsidR="009E4A8F" w:rsidRPr="001059E8" w:rsidRDefault="009E4A8F" w:rsidP="001059E8">
      <w:pPr>
        <w:pStyle w:val="ListParagraph"/>
        <w:ind w:left="1162"/>
        <w:rPr>
          <w:bCs/>
          <w:szCs w:val="28"/>
        </w:rPr>
      </w:pPr>
      <w:r w:rsidRPr="001059E8">
        <w:rPr>
          <w:bCs/>
          <w:szCs w:val="28"/>
        </w:rPr>
        <w:t xml:space="preserve"> </w:t>
      </w:r>
    </w:p>
    <w:p w14:paraId="0664B0E3" w14:textId="148CD7E2" w:rsidR="009E4A8F" w:rsidRDefault="009E4A8F" w:rsidP="001059E8">
      <w:pPr>
        <w:pStyle w:val="ListParagraph"/>
        <w:numPr>
          <w:ilvl w:val="2"/>
          <w:numId w:val="2"/>
        </w:numPr>
        <w:rPr>
          <w:bCs/>
          <w:szCs w:val="28"/>
        </w:rPr>
      </w:pPr>
      <w:r w:rsidRPr="001059E8">
        <w:rPr>
          <w:bCs/>
          <w:szCs w:val="28"/>
        </w:rPr>
        <w:t xml:space="preserve">For leased/ hired cars, the driver is responsible for ensuring that the vehicle is serviced at the recommended intervals. </w:t>
      </w:r>
    </w:p>
    <w:p w14:paraId="7A42BC16" w14:textId="77777777" w:rsidR="001059E8" w:rsidRPr="00F63CDD" w:rsidRDefault="001059E8" w:rsidP="00F63CDD">
      <w:pPr>
        <w:rPr>
          <w:bCs/>
          <w:szCs w:val="28"/>
        </w:rPr>
      </w:pPr>
    </w:p>
    <w:p w14:paraId="5FE29BA7" w14:textId="37F072B0" w:rsidR="009E4A8F" w:rsidRDefault="009E4A8F" w:rsidP="001059E8">
      <w:pPr>
        <w:pStyle w:val="ListParagraph"/>
        <w:numPr>
          <w:ilvl w:val="2"/>
          <w:numId w:val="2"/>
        </w:numPr>
        <w:rPr>
          <w:bCs/>
          <w:szCs w:val="28"/>
        </w:rPr>
      </w:pPr>
      <w:r w:rsidRPr="001059E8">
        <w:rPr>
          <w:bCs/>
          <w:szCs w:val="28"/>
        </w:rPr>
        <w:t>For non-Trust vehicles, it is the driver / owner’s responsibility to ensure the vehicle is appropriately maintained and roadworthy.</w:t>
      </w:r>
    </w:p>
    <w:p w14:paraId="1E6C892E" w14:textId="77777777" w:rsidR="001059E8" w:rsidRPr="001059E8" w:rsidRDefault="001059E8" w:rsidP="001059E8">
      <w:pPr>
        <w:pStyle w:val="ListParagraph"/>
        <w:ind w:left="1162"/>
        <w:rPr>
          <w:bCs/>
          <w:szCs w:val="28"/>
        </w:rPr>
      </w:pPr>
    </w:p>
    <w:p w14:paraId="137A2F6F" w14:textId="6D3AEA01" w:rsidR="009E4A8F" w:rsidRPr="001059E8" w:rsidRDefault="009E4A8F" w:rsidP="001059E8">
      <w:pPr>
        <w:pStyle w:val="ListParagraph"/>
        <w:numPr>
          <w:ilvl w:val="1"/>
          <w:numId w:val="2"/>
        </w:numPr>
        <w:rPr>
          <w:b/>
          <w:szCs w:val="28"/>
        </w:rPr>
      </w:pPr>
      <w:r w:rsidRPr="001059E8">
        <w:rPr>
          <w:b/>
          <w:szCs w:val="28"/>
        </w:rPr>
        <w:t>Vehicle Safety Checks (Tyres, Fuel, Oil &amp; Water)</w:t>
      </w:r>
    </w:p>
    <w:p w14:paraId="08301709" w14:textId="77777777" w:rsidR="001059E8" w:rsidRPr="00F76D37" w:rsidRDefault="001059E8" w:rsidP="007977B3">
      <w:pPr>
        <w:rPr>
          <w:bCs/>
          <w:szCs w:val="28"/>
        </w:rPr>
      </w:pPr>
    </w:p>
    <w:p w14:paraId="517A8007" w14:textId="28C0B0CB" w:rsidR="009E4A8F" w:rsidRDefault="009E4A8F" w:rsidP="001059E8">
      <w:pPr>
        <w:pStyle w:val="ListParagraph"/>
        <w:numPr>
          <w:ilvl w:val="2"/>
          <w:numId w:val="2"/>
        </w:numPr>
        <w:rPr>
          <w:bCs/>
          <w:szCs w:val="28"/>
        </w:rPr>
      </w:pPr>
      <w:r w:rsidRPr="001059E8">
        <w:rPr>
          <w:bCs/>
          <w:szCs w:val="28"/>
        </w:rPr>
        <w:t xml:space="preserve">It is the responsibility of all drivers to ensure the vehicle is roadworthy and legally compliant before using it by carrying out relevant checks. The roadworthiness of the vehicle and of tyre condition is the legal responsibility of the person driving the vehicle. </w:t>
      </w:r>
    </w:p>
    <w:p w14:paraId="034B2EC5" w14:textId="77777777" w:rsidR="001059E8" w:rsidRPr="001059E8" w:rsidRDefault="001059E8" w:rsidP="001059E8">
      <w:pPr>
        <w:pStyle w:val="ListParagraph"/>
        <w:ind w:left="1162"/>
        <w:rPr>
          <w:bCs/>
          <w:szCs w:val="28"/>
        </w:rPr>
      </w:pPr>
    </w:p>
    <w:p w14:paraId="698768EF" w14:textId="1610B1A6" w:rsidR="009E4A8F" w:rsidRDefault="009E4A8F" w:rsidP="007977B3">
      <w:pPr>
        <w:pStyle w:val="ListParagraph"/>
        <w:numPr>
          <w:ilvl w:val="2"/>
          <w:numId w:val="2"/>
        </w:numPr>
        <w:rPr>
          <w:bCs/>
          <w:szCs w:val="28"/>
        </w:rPr>
      </w:pPr>
      <w:r w:rsidRPr="001059E8">
        <w:rPr>
          <w:bCs/>
          <w:szCs w:val="28"/>
        </w:rPr>
        <w:t xml:space="preserve">The appropriate sections of the Vehicle Make Ready Record (MRS005) are completed by the Make Ready Operatives All drivers of core Operational vehicles must complete section one of the). This section is completed by Make Ready Operatives during preparation and MUST be </w:t>
      </w:r>
      <w:r w:rsidRPr="001059E8">
        <w:rPr>
          <w:bCs/>
          <w:szCs w:val="28"/>
        </w:rPr>
        <w:lastRenderedPageBreak/>
        <w:t>completed by the driver of the vehicle</w:t>
      </w:r>
      <w:r w:rsidR="00CE5961" w:rsidRPr="001059E8">
        <w:rPr>
          <w:bCs/>
          <w:szCs w:val="28"/>
        </w:rPr>
        <w:t>.</w:t>
      </w:r>
      <w:r w:rsidRPr="001059E8">
        <w:rPr>
          <w:bCs/>
          <w:szCs w:val="28"/>
        </w:rPr>
        <w:t>Vehicle Interior and passenger safety</w:t>
      </w:r>
    </w:p>
    <w:p w14:paraId="197BF2B1" w14:textId="77777777" w:rsidR="001059E8" w:rsidRPr="00F63CDD" w:rsidRDefault="001059E8" w:rsidP="00F63CDD">
      <w:pPr>
        <w:rPr>
          <w:bCs/>
          <w:szCs w:val="28"/>
        </w:rPr>
      </w:pPr>
    </w:p>
    <w:p w14:paraId="0AD18E77" w14:textId="1D453E75" w:rsidR="009E4A8F" w:rsidRDefault="009E4A8F" w:rsidP="001059E8">
      <w:pPr>
        <w:pStyle w:val="ListParagraph"/>
        <w:numPr>
          <w:ilvl w:val="2"/>
          <w:numId w:val="2"/>
        </w:numPr>
        <w:rPr>
          <w:bCs/>
          <w:szCs w:val="28"/>
        </w:rPr>
      </w:pPr>
      <w:r w:rsidRPr="001059E8">
        <w:rPr>
          <w:bCs/>
          <w:szCs w:val="28"/>
        </w:rPr>
        <w:t>All portable equipment that could act as a projectile in the event of a collision and cause injury must be adequately secured within the vehicle.</w:t>
      </w:r>
    </w:p>
    <w:p w14:paraId="0479BEB0" w14:textId="77777777" w:rsidR="001059E8" w:rsidRPr="001059E8" w:rsidRDefault="001059E8" w:rsidP="001059E8">
      <w:pPr>
        <w:pStyle w:val="ListParagraph"/>
        <w:ind w:left="1162"/>
        <w:rPr>
          <w:bCs/>
          <w:szCs w:val="28"/>
        </w:rPr>
      </w:pPr>
    </w:p>
    <w:p w14:paraId="24532574" w14:textId="1BE6E5D5" w:rsidR="009E4A8F" w:rsidRDefault="009E4A8F" w:rsidP="001059E8">
      <w:pPr>
        <w:pStyle w:val="ListParagraph"/>
        <w:numPr>
          <w:ilvl w:val="2"/>
          <w:numId w:val="2"/>
        </w:numPr>
        <w:rPr>
          <w:bCs/>
          <w:szCs w:val="28"/>
        </w:rPr>
      </w:pPr>
      <w:r w:rsidRPr="001059E8">
        <w:rPr>
          <w:bCs/>
          <w:szCs w:val="28"/>
        </w:rPr>
        <w:t>The driver of the vehicle has ultimate responsibility for the safety of all passengers.</w:t>
      </w:r>
    </w:p>
    <w:p w14:paraId="040BEF7A" w14:textId="77777777" w:rsidR="001059E8" w:rsidRPr="00F63CDD" w:rsidRDefault="001059E8" w:rsidP="00F63CDD">
      <w:pPr>
        <w:rPr>
          <w:bCs/>
          <w:szCs w:val="28"/>
        </w:rPr>
      </w:pPr>
    </w:p>
    <w:p w14:paraId="24D08BCA" w14:textId="7D45593B" w:rsidR="009E4A8F" w:rsidRDefault="009E4A8F" w:rsidP="001059E8">
      <w:pPr>
        <w:pStyle w:val="ListParagraph"/>
        <w:numPr>
          <w:ilvl w:val="2"/>
          <w:numId w:val="2"/>
        </w:numPr>
        <w:rPr>
          <w:bCs/>
          <w:szCs w:val="28"/>
        </w:rPr>
      </w:pPr>
      <w:r w:rsidRPr="001059E8">
        <w:rPr>
          <w:bCs/>
          <w:szCs w:val="28"/>
        </w:rPr>
        <w:t xml:space="preserve">Appropriate means of securing staff, patients and escorts will be provided, so far as is reasonably practicable, on all Trust vehicles. Seatbelts, safety harnesses, child restraints and booster seats must be used where necessary and appropriate, unless impractical to do so, e.g. such as due to clinical interventions. The safe restraint of patients during conveyance is paramount, including patients with special or complex needs, such as </w:t>
      </w:r>
      <w:r w:rsidR="00E205D9" w:rsidRPr="001059E8">
        <w:rPr>
          <w:bCs/>
          <w:szCs w:val="28"/>
        </w:rPr>
        <w:t xml:space="preserve">bariatric </w:t>
      </w:r>
      <w:r w:rsidRPr="001059E8">
        <w:rPr>
          <w:bCs/>
          <w:szCs w:val="28"/>
        </w:rPr>
        <w:t xml:space="preserve">patients. </w:t>
      </w:r>
    </w:p>
    <w:p w14:paraId="687D3985" w14:textId="77777777" w:rsidR="001059E8" w:rsidRPr="001059E8" w:rsidRDefault="001059E8" w:rsidP="001059E8">
      <w:pPr>
        <w:pStyle w:val="ListParagraph"/>
        <w:ind w:left="1162"/>
        <w:rPr>
          <w:bCs/>
          <w:szCs w:val="28"/>
        </w:rPr>
      </w:pPr>
    </w:p>
    <w:p w14:paraId="6F8F8425" w14:textId="57F1708C" w:rsidR="009E4A8F" w:rsidRDefault="009E4A8F" w:rsidP="001059E8">
      <w:pPr>
        <w:pStyle w:val="ListParagraph"/>
        <w:numPr>
          <w:ilvl w:val="2"/>
          <w:numId w:val="2"/>
        </w:numPr>
        <w:rPr>
          <w:bCs/>
          <w:szCs w:val="28"/>
        </w:rPr>
      </w:pPr>
      <w:r w:rsidRPr="001059E8">
        <w:rPr>
          <w:bCs/>
          <w:szCs w:val="28"/>
        </w:rPr>
        <w:t xml:space="preserve">The driver of the vehicle should not commence any journey unless the passengers are secured except where a passenger has a medical exemption or there is another justifiable reason for not being restrained i.e. lifesaving medical treatment/ custody/restraint. </w:t>
      </w:r>
    </w:p>
    <w:p w14:paraId="64777D81" w14:textId="77777777" w:rsidR="001059E8" w:rsidRPr="00F63CDD" w:rsidRDefault="001059E8" w:rsidP="00F63CDD">
      <w:pPr>
        <w:rPr>
          <w:bCs/>
          <w:szCs w:val="28"/>
        </w:rPr>
      </w:pPr>
    </w:p>
    <w:p w14:paraId="6FCD6F62" w14:textId="3C90F1F7" w:rsidR="009E4A8F" w:rsidRDefault="009E4A8F" w:rsidP="001059E8">
      <w:pPr>
        <w:pStyle w:val="ListParagraph"/>
        <w:numPr>
          <w:ilvl w:val="2"/>
          <w:numId w:val="2"/>
        </w:numPr>
        <w:rPr>
          <w:bCs/>
          <w:szCs w:val="28"/>
        </w:rPr>
      </w:pPr>
      <w:r w:rsidRPr="001059E8">
        <w:rPr>
          <w:bCs/>
          <w:szCs w:val="28"/>
        </w:rPr>
        <w:t>Journeys undertaken where passengers were not restrained should be documented i.e. CAD notes, PCR or IWR-1.</w:t>
      </w:r>
    </w:p>
    <w:p w14:paraId="1F9F57FD" w14:textId="77777777" w:rsidR="00B76CE5" w:rsidRPr="001059E8" w:rsidRDefault="00B76CE5" w:rsidP="00B76CE5">
      <w:pPr>
        <w:pStyle w:val="ListParagraph"/>
        <w:ind w:left="1162"/>
        <w:rPr>
          <w:bCs/>
          <w:szCs w:val="28"/>
        </w:rPr>
      </w:pPr>
    </w:p>
    <w:p w14:paraId="3736EAD4" w14:textId="29ECE25F" w:rsidR="009E4A8F" w:rsidRDefault="009E4A8F" w:rsidP="001059E8">
      <w:pPr>
        <w:pStyle w:val="ListParagraph"/>
        <w:numPr>
          <w:ilvl w:val="1"/>
          <w:numId w:val="2"/>
        </w:numPr>
        <w:rPr>
          <w:b/>
          <w:szCs w:val="28"/>
        </w:rPr>
      </w:pPr>
      <w:r w:rsidRPr="001059E8">
        <w:rPr>
          <w:b/>
          <w:szCs w:val="28"/>
        </w:rPr>
        <w:t>Driving Licenses</w:t>
      </w:r>
    </w:p>
    <w:p w14:paraId="7FB50D48" w14:textId="77777777" w:rsidR="001059E8" w:rsidRPr="001059E8" w:rsidRDefault="001059E8" w:rsidP="001059E8">
      <w:pPr>
        <w:pStyle w:val="ListParagraph"/>
        <w:ind w:left="1162"/>
        <w:rPr>
          <w:b/>
          <w:szCs w:val="28"/>
        </w:rPr>
      </w:pPr>
    </w:p>
    <w:p w14:paraId="50DB93F7" w14:textId="4A2A12A4" w:rsidR="009E4A8F" w:rsidRPr="001059E8" w:rsidRDefault="009E4A8F" w:rsidP="001059E8">
      <w:pPr>
        <w:pStyle w:val="ListParagraph"/>
        <w:numPr>
          <w:ilvl w:val="2"/>
          <w:numId w:val="2"/>
        </w:numPr>
      </w:pPr>
      <w:r>
        <w:t>All staff must upload once per year a copy of the</w:t>
      </w:r>
      <w:r w:rsidR="00B07853">
        <w:t>ir</w:t>
      </w:r>
      <w:r>
        <w:t xml:space="preserve"> driving license summary. If there are any changes throughout the year it is the staff members’ responsibility to update </w:t>
      </w:r>
      <w:r w:rsidR="00E205D9">
        <w:t xml:space="preserve">Actus </w:t>
      </w:r>
      <w:r>
        <w:t>and inform their line manager as soon as practicably</w:t>
      </w:r>
      <w:r w:rsidRPr="001059E8">
        <w:rPr>
          <w:bCs/>
          <w:szCs w:val="28"/>
        </w:rPr>
        <w:t xml:space="preserve"> possible</w:t>
      </w:r>
      <w:r w:rsidR="001059E8">
        <w:rPr>
          <w:bCs/>
          <w:szCs w:val="28"/>
        </w:rPr>
        <w:t>.</w:t>
      </w:r>
    </w:p>
    <w:p w14:paraId="4B1A03A1" w14:textId="77777777" w:rsidR="001059E8" w:rsidRDefault="001059E8" w:rsidP="001059E8">
      <w:pPr>
        <w:pStyle w:val="ListParagraph"/>
        <w:ind w:left="1162"/>
      </w:pPr>
    </w:p>
    <w:p w14:paraId="12C8597A" w14:textId="29415B48" w:rsidR="009E4A8F" w:rsidRDefault="009E4A8F" w:rsidP="001059E8">
      <w:pPr>
        <w:pStyle w:val="ListParagraph"/>
        <w:numPr>
          <w:ilvl w:val="2"/>
          <w:numId w:val="2"/>
        </w:numPr>
        <w:rPr>
          <w:bCs/>
          <w:szCs w:val="28"/>
        </w:rPr>
      </w:pPr>
      <w:r w:rsidRPr="001059E8">
        <w:rPr>
          <w:bCs/>
          <w:szCs w:val="28"/>
        </w:rPr>
        <w:t>All</w:t>
      </w:r>
      <w:r w:rsidR="00B07853" w:rsidRPr="001059E8">
        <w:rPr>
          <w:bCs/>
          <w:szCs w:val="28"/>
        </w:rPr>
        <w:t xml:space="preserve"> C</w:t>
      </w:r>
      <w:r w:rsidRPr="001059E8">
        <w:rPr>
          <w:bCs/>
          <w:szCs w:val="28"/>
        </w:rPr>
        <w:t xml:space="preserve">ommunity </w:t>
      </w:r>
      <w:r w:rsidR="00B07853" w:rsidRPr="001059E8">
        <w:rPr>
          <w:bCs/>
          <w:szCs w:val="28"/>
        </w:rPr>
        <w:t>F</w:t>
      </w:r>
      <w:r w:rsidRPr="001059E8">
        <w:rPr>
          <w:bCs/>
          <w:szCs w:val="28"/>
        </w:rPr>
        <w:t xml:space="preserve">irst </w:t>
      </w:r>
      <w:r w:rsidR="00B07853" w:rsidRPr="001059E8">
        <w:rPr>
          <w:bCs/>
          <w:szCs w:val="28"/>
        </w:rPr>
        <w:t>R</w:t>
      </w:r>
      <w:r w:rsidRPr="001059E8">
        <w:rPr>
          <w:bCs/>
          <w:szCs w:val="28"/>
        </w:rPr>
        <w:t>esponders will have their licenc</w:t>
      </w:r>
      <w:r w:rsidR="00B07853" w:rsidRPr="001059E8">
        <w:rPr>
          <w:bCs/>
          <w:szCs w:val="28"/>
        </w:rPr>
        <w:t>es checked annually by their scheme team leaders.</w:t>
      </w:r>
    </w:p>
    <w:p w14:paraId="4B57AF53" w14:textId="77777777" w:rsidR="001059E8" w:rsidRPr="00F63CDD" w:rsidRDefault="001059E8" w:rsidP="00F63CDD">
      <w:pPr>
        <w:rPr>
          <w:bCs/>
          <w:szCs w:val="28"/>
        </w:rPr>
      </w:pPr>
    </w:p>
    <w:p w14:paraId="2B1D62A1" w14:textId="50F00876" w:rsidR="009E4A8F" w:rsidRDefault="009E4A8F" w:rsidP="001059E8">
      <w:pPr>
        <w:pStyle w:val="ListParagraph"/>
        <w:numPr>
          <w:ilvl w:val="2"/>
          <w:numId w:val="2"/>
        </w:numPr>
        <w:rPr>
          <w:bCs/>
          <w:szCs w:val="28"/>
        </w:rPr>
      </w:pPr>
      <w:r w:rsidRPr="001059E8">
        <w:rPr>
          <w:bCs/>
          <w:szCs w:val="28"/>
        </w:rPr>
        <w:t>Drivers convicted of endorsable offences may incur penalty points and where this leads to disqualification re-deployment may be considered but disqualification from driving could lead to termination of employment with the Trust if there are no suitable alternative roles available</w:t>
      </w:r>
      <w:r w:rsidR="0082309D" w:rsidRPr="001059E8">
        <w:rPr>
          <w:bCs/>
          <w:szCs w:val="28"/>
        </w:rPr>
        <w:t xml:space="preserve">, </w:t>
      </w:r>
      <w:r w:rsidR="0082309D">
        <w:t>or if the conviction might bring the Trust into disrepute</w:t>
      </w:r>
      <w:r w:rsidRPr="001059E8">
        <w:rPr>
          <w:bCs/>
          <w:szCs w:val="28"/>
        </w:rPr>
        <w:t xml:space="preserve"> or a driving licence is a pre-requisite for the role.</w:t>
      </w:r>
    </w:p>
    <w:p w14:paraId="23816F96" w14:textId="77777777" w:rsidR="001059E8" w:rsidRPr="001059E8" w:rsidRDefault="001059E8" w:rsidP="001059E8">
      <w:pPr>
        <w:pStyle w:val="ListParagraph"/>
        <w:ind w:left="1162"/>
        <w:rPr>
          <w:bCs/>
          <w:szCs w:val="28"/>
        </w:rPr>
      </w:pPr>
    </w:p>
    <w:p w14:paraId="215D9501" w14:textId="056897EC" w:rsidR="009E4A8F" w:rsidRDefault="009E4A8F" w:rsidP="00B76CE5">
      <w:pPr>
        <w:pStyle w:val="ListParagraph"/>
        <w:numPr>
          <w:ilvl w:val="1"/>
          <w:numId w:val="2"/>
        </w:numPr>
        <w:rPr>
          <w:b/>
          <w:szCs w:val="28"/>
        </w:rPr>
      </w:pPr>
      <w:r w:rsidRPr="00B76CE5">
        <w:rPr>
          <w:b/>
          <w:szCs w:val="28"/>
        </w:rPr>
        <w:t>Fitness to Drive</w:t>
      </w:r>
    </w:p>
    <w:p w14:paraId="1898E4DF" w14:textId="77777777" w:rsidR="00B76CE5" w:rsidRPr="00B76CE5" w:rsidRDefault="00B76CE5" w:rsidP="00B76CE5">
      <w:pPr>
        <w:pStyle w:val="ListParagraph"/>
        <w:ind w:left="1162"/>
        <w:rPr>
          <w:b/>
          <w:szCs w:val="28"/>
        </w:rPr>
      </w:pPr>
    </w:p>
    <w:p w14:paraId="1E2A0B07" w14:textId="06082096" w:rsidR="009E4A8F" w:rsidRDefault="009E4A8F" w:rsidP="00B76CE5">
      <w:pPr>
        <w:pStyle w:val="ListParagraph"/>
        <w:numPr>
          <w:ilvl w:val="1"/>
          <w:numId w:val="2"/>
        </w:numPr>
        <w:rPr>
          <w:b/>
          <w:szCs w:val="28"/>
        </w:rPr>
      </w:pPr>
      <w:r w:rsidRPr="00B76CE5">
        <w:rPr>
          <w:b/>
          <w:szCs w:val="28"/>
        </w:rPr>
        <w:t>Health issues</w:t>
      </w:r>
    </w:p>
    <w:p w14:paraId="00D6C9A0" w14:textId="77777777" w:rsidR="00B76CE5" w:rsidRPr="00F63CDD" w:rsidRDefault="00B76CE5" w:rsidP="00F63CDD">
      <w:pPr>
        <w:rPr>
          <w:b/>
          <w:szCs w:val="28"/>
        </w:rPr>
      </w:pPr>
    </w:p>
    <w:p w14:paraId="4DF5BFD8" w14:textId="054A0E92" w:rsidR="009E4A8F" w:rsidRPr="00B76CE5" w:rsidRDefault="009E4A8F" w:rsidP="00B76CE5">
      <w:pPr>
        <w:pStyle w:val="ListParagraph"/>
        <w:numPr>
          <w:ilvl w:val="2"/>
          <w:numId w:val="2"/>
        </w:numPr>
        <w:rPr>
          <w:bCs/>
          <w:szCs w:val="28"/>
        </w:rPr>
      </w:pPr>
      <w:r w:rsidRPr="00B76CE5">
        <w:rPr>
          <w:bCs/>
          <w:szCs w:val="28"/>
        </w:rPr>
        <w:t xml:space="preserve">Where staff develop a medical condition which prevents them either temporarily or permanently undertaking driving duties which are essential to their role, every </w:t>
      </w:r>
      <w:r w:rsidR="007261A4" w:rsidRPr="00B76CE5">
        <w:rPr>
          <w:bCs/>
          <w:szCs w:val="28"/>
        </w:rPr>
        <w:t xml:space="preserve">reasonable </w:t>
      </w:r>
      <w:r w:rsidRPr="00B76CE5">
        <w:rPr>
          <w:bCs/>
          <w:szCs w:val="28"/>
        </w:rPr>
        <w:t xml:space="preserve">effort will be made to re-deploy staff into a suitable alternative role. Suitable alternative roles particularly on a </w:t>
      </w:r>
      <w:r w:rsidRPr="00B76CE5">
        <w:rPr>
          <w:bCs/>
          <w:szCs w:val="28"/>
        </w:rPr>
        <w:lastRenderedPageBreak/>
        <w:t>permanent basis however may not always be available and therefore development of such medical conditions could ultimately lead to termination of the employee’s contract.</w:t>
      </w:r>
    </w:p>
    <w:p w14:paraId="67CD9310" w14:textId="77777777" w:rsidR="009E4A8F" w:rsidRDefault="009E4A8F" w:rsidP="007977B3">
      <w:pPr>
        <w:rPr>
          <w:bCs/>
          <w:szCs w:val="28"/>
        </w:rPr>
      </w:pPr>
    </w:p>
    <w:p w14:paraId="548FC599" w14:textId="54051E02" w:rsidR="009E4A8F" w:rsidRDefault="009E4A8F" w:rsidP="00B76CE5">
      <w:pPr>
        <w:pStyle w:val="ListParagraph"/>
        <w:numPr>
          <w:ilvl w:val="1"/>
          <w:numId w:val="2"/>
        </w:numPr>
        <w:rPr>
          <w:b/>
          <w:szCs w:val="28"/>
        </w:rPr>
      </w:pPr>
      <w:r w:rsidRPr="00B76CE5">
        <w:rPr>
          <w:b/>
          <w:szCs w:val="28"/>
        </w:rPr>
        <w:t>Vision (Spectacles, Contact Lenses/Sunglasses)</w:t>
      </w:r>
    </w:p>
    <w:p w14:paraId="635D12A2" w14:textId="77777777" w:rsidR="00B76CE5" w:rsidRPr="00B76CE5" w:rsidRDefault="00B76CE5" w:rsidP="00B76CE5">
      <w:pPr>
        <w:pStyle w:val="ListParagraph"/>
        <w:ind w:left="1162"/>
        <w:rPr>
          <w:b/>
          <w:szCs w:val="28"/>
        </w:rPr>
      </w:pPr>
    </w:p>
    <w:p w14:paraId="2A9C50EE" w14:textId="065BFD5D" w:rsidR="009E4A8F" w:rsidRDefault="009E4A8F" w:rsidP="00B76CE5">
      <w:pPr>
        <w:pStyle w:val="ListParagraph"/>
        <w:numPr>
          <w:ilvl w:val="2"/>
          <w:numId w:val="2"/>
        </w:numPr>
        <w:rPr>
          <w:bCs/>
          <w:szCs w:val="28"/>
        </w:rPr>
      </w:pPr>
      <w:r w:rsidRPr="00B76CE5">
        <w:rPr>
          <w:bCs/>
          <w:szCs w:val="28"/>
        </w:rPr>
        <w:t>All Trust drivers must ensure that their vision meets with the legal requirement at all times. This is specified in the Highway Code (Rule 92) and drivers are strongly encouraged to have regular eyesight tests (every two years at least) to help maintain this requirement. Drivers who need to wear spectacles or contact lenses for driving must do so at all times when driving and should carry a spare pair of spectacles when on duty.</w:t>
      </w:r>
    </w:p>
    <w:p w14:paraId="12139C86" w14:textId="77777777" w:rsidR="00B76CE5" w:rsidRPr="00B76CE5" w:rsidRDefault="00B76CE5" w:rsidP="00B76CE5">
      <w:pPr>
        <w:pStyle w:val="ListParagraph"/>
        <w:ind w:left="1162"/>
        <w:rPr>
          <w:bCs/>
          <w:szCs w:val="28"/>
        </w:rPr>
      </w:pPr>
    </w:p>
    <w:p w14:paraId="49D985D7" w14:textId="3B92B406" w:rsidR="009E4A8F" w:rsidRDefault="009E4A8F" w:rsidP="00B76CE5">
      <w:pPr>
        <w:pStyle w:val="ListParagraph"/>
        <w:numPr>
          <w:ilvl w:val="2"/>
          <w:numId w:val="2"/>
        </w:numPr>
        <w:rPr>
          <w:bCs/>
          <w:szCs w:val="28"/>
        </w:rPr>
      </w:pPr>
      <w:r w:rsidRPr="00B76CE5">
        <w:rPr>
          <w:bCs/>
          <w:szCs w:val="28"/>
        </w:rPr>
        <w:t xml:space="preserve">In accordance with Rule 94 of the Highway Code, sunglasses/tinted spectacles may only be worn during bright sunlight. The wearing of such spectacles could be dangerous in other conditions, due to the reduction of vision and </w:t>
      </w:r>
      <w:r w:rsidR="00234FDF" w:rsidRPr="00B76CE5">
        <w:rPr>
          <w:bCs/>
          <w:szCs w:val="28"/>
        </w:rPr>
        <w:t>subsequent risk of not observing another road user, for example, a pedestrian or bicycle</w:t>
      </w:r>
      <w:r w:rsidRPr="00B76CE5">
        <w:rPr>
          <w:bCs/>
          <w:szCs w:val="28"/>
        </w:rPr>
        <w:t>.</w:t>
      </w:r>
    </w:p>
    <w:p w14:paraId="57584B40" w14:textId="77777777" w:rsidR="00B76CE5" w:rsidRPr="00B76CE5" w:rsidRDefault="00B76CE5" w:rsidP="00B76CE5">
      <w:pPr>
        <w:pStyle w:val="ListParagraph"/>
        <w:rPr>
          <w:bCs/>
          <w:szCs w:val="28"/>
        </w:rPr>
      </w:pPr>
    </w:p>
    <w:p w14:paraId="06110E25" w14:textId="77777777" w:rsidR="00B76CE5" w:rsidRPr="00B76CE5" w:rsidRDefault="00B76CE5" w:rsidP="00B76CE5">
      <w:pPr>
        <w:pStyle w:val="ListParagraph"/>
        <w:ind w:left="1162"/>
        <w:rPr>
          <w:bCs/>
          <w:szCs w:val="28"/>
        </w:rPr>
      </w:pPr>
    </w:p>
    <w:p w14:paraId="38F0589B" w14:textId="4D43A164" w:rsidR="009E4A8F" w:rsidRDefault="009E4A8F" w:rsidP="00B76CE5">
      <w:pPr>
        <w:pStyle w:val="ListParagraph"/>
        <w:numPr>
          <w:ilvl w:val="1"/>
          <w:numId w:val="2"/>
        </w:numPr>
        <w:rPr>
          <w:b/>
          <w:szCs w:val="28"/>
        </w:rPr>
      </w:pPr>
      <w:r w:rsidRPr="00B76CE5">
        <w:rPr>
          <w:b/>
          <w:szCs w:val="28"/>
        </w:rPr>
        <w:t>Rest Breaks</w:t>
      </w:r>
    </w:p>
    <w:p w14:paraId="36934D8C" w14:textId="77777777" w:rsidR="00B76CE5" w:rsidRPr="00B76CE5" w:rsidRDefault="00B76CE5" w:rsidP="00B76CE5">
      <w:pPr>
        <w:pStyle w:val="ListParagraph"/>
        <w:ind w:left="1162"/>
        <w:rPr>
          <w:b/>
          <w:szCs w:val="28"/>
        </w:rPr>
      </w:pPr>
    </w:p>
    <w:p w14:paraId="7784016E" w14:textId="1AB0B785" w:rsidR="009E4A8F" w:rsidRDefault="009E4A8F" w:rsidP="00B76CE5">
      <w:pPr>
        <w:pStyle w:val="ListParagraph"/>
        <w:numPr>
          <w:ilvl w:val="2"/>
          <w:numId w:val="2"/>
        </w:numPr>
        <w:rPr>
          <w:bCs/>
          <w:szCs w:val="28"/>
        </w:rPr>
      </w:pPr>
      <w:r w:rsidRPr="00B76CE5">
        <w:rPr>
          <w:bCs/>
          <w:szCs w:val="28"/>
        </w:rPr>
        <w:t>It is the duty of the driver to ensure they are alert and as safe as possible. It is therefore their duty to ensure they take at least a 20-minute break every four hours of continuous driving. Driving does not include sitting in a stationary vehicle whilst on standby.</w:t>
      </w:r>
    </w:p>
    <w:p w14:paraId="087D1D8C" w14:textId="77777777" w:rsidR="00B76CE5" w:rsidRPr="00B76CE5" w:rsidRDefault="00B76CE5" w:rsidP="00B76CE5">
      <w:pPr>
        <w:pStyle w:val="ListParagraph"/>
        <w:ind w:left="1162"/>
        <w:rPr>
          <w:bCs/>
          <w:szCs w:val="28"/>
        </w:rPr>
      </w:pPr>
    </w:p>
    <w:p w14:paraId="1E37D1F9" w14:textId="2E1255D6" w:rsidR="009E4A8F" w:rsidRDefault="009E4A8F" w:rsidP="00B76CE5">
      <w:pPr>
        <w:pStyle w:val="ListParagraph"/>
        <w:numPr>
          <w:ilvl w:val="2"/>
          <w:numId w:val="2"/>
        </w:numPr>
        <w:rPr>
          <w:bCs/>
          <w:szCs w:val="28"/>
        </w:rPr>
      </w:pPr>
      <w:r w:rsidRPr="00B76CE5">
        <w:rPr>
          <w:bCs/>
          <w:szCs w:val="28"/>
        </w:rPr>
        <w:t>Due to the nature of ambulance work it may be necessary to exceed this maximum in exceptional circumstances. However, any deviation, should be recorded an IWR-1 form with reasons why the deviation was necessary.</w:t>
      </w:r>
    </w:p>
    <w:p w14:paraId="1073CE4F" w14:textId="77777777" w:rsidR="00B76CE5" w:rsidRPr="00F63CDD" w:rsidRDefault="00B76CE5" w:rsidP="00F63CDD">
      <w:pPr>
        <w:rPr>
          <w:bCs/>
          <w:szCs w:val="28"/>
        </w:rPr>
      </w:pPr>
    </w:p>
    <w:p w14:paraId="5E7EFE6B" w14:textId="74D6833F" w:rsidR="009E4A8F" w:rsidRDefault="00E205D9" w:rsidP="00B76CE5">
      <w:pPr>
        <w:pStyle w:val="ListParagraph"/>
        <w:numPr>
          <w:ilvl w:val="2"/>
          <w:numId w:val="2"/>
        </w:numPr>
        <w:rPr>
          <w:bCs/>
          <w:szCs w:val="28"/>
        </w:rPr>
      </w:pPr>
      <w:r w:rsidRPr="00B76CE5">
        <w:rPr>
          <w:bCs/>
          <w:szCs w:val="28"/>
        </w:rPr>
        <w:t xml:space="preserve">To minimise instances of missed rest breaks for </w:t>
      </w:r>
      <w:r w:rsidR="00CA1D33" w:rsidRPr="00B76CE5">
        <w:rPr>
          <w:bCs/>
          <w:szCs w:val="28"/>
        </w:rPr>
        <w:t>drivers’</w:t>
      </w:r>
      <w:r w:rsidRPr="00B76CE5">
        <w:rPr>
          <w:bCs/>
          <w:szCs w:val="28"/>
        </w:rPr>
        <w:t xml:space="preserve"> c</w:t>
      </w:r>
      <w:r w:rsidR="009E4A8F" w:rsidRPr="00B76CE5">
        <w:rPr>
          <w:bCs/>
          <w:szCs w:val="28"/>
        </w:rPr>
        <w:t>onsideration will be given wherever possible to re-scheduling non- emergency journeys and/ or routes to take into account exceptional adverse weather conditions</w:t>
      </w:r>
      <w:r w:rsidR="00CA1D33" w:rsidRPr="00B76CE5">
        <w:rPr>
          <w:bCs/>
          <w:szCs w:val="28"/>
        </w:rPr>
        <w:t>.</w:t>
      </w:r>
    </w:p>
    <w:p w14:paraId="6475EEB0" w14:textId="77777777" w:rsidR="00B76CE5" w:rsidRPr="00B76CE5" w:rsidRDefault="00B76CE5" w:rsidP="00B76CE5">
      <w:pPr>
        <w:pStyle w:val="ListParagraph"/>
        <w:ind w:left="1162"/>
        <w:rPr>
          <w:bCs/>
          <w:szCs w:val="28"/>
        </w:rPr>
      </w:pPr>
    </w:p>
    <w:p w14:paraId="48F33B38" w14:textId="714C7484" w:rsidR="009E4A8F" w:rsidRDefault="009E4A8F" w:rsidP="00B76CE5">
      <w:pPr>
        <w:pStyle w:val="ListParagraph"/>
        <w:numPr>
          <w:ilvl w:val="1"/>
          <w:numId w:val="2"/>
        </w:numPr>
        <w:rPr>
          <w:b/>
          <w:szCs w:val="28"/>
        </w:rPr>
      </w:pPr>
      <w:r w:rsidRPr="00B76CE5">
        <w:rPr>
          <w:b/>
          <w:szCs w:val="28"/>
        </w:rPr>
        <w:t>Driver Competencies</w:t>
      </w:r>
    </w:p>
    <w:p w14:paraId="1D1EF30D" w14:textId="77777777" w:rsidR="00B76CE5" w:rsidRPr="00B76CE5" w:rsidRDefault="00B76CE5" w:rsidP="00B76CE5">
      <w:pPr>
        <w:pStyle w:val="ListParagraph"/>
        <w:ind w:left="1162"/>
        <w:rPr>
          <w:b/>
          <w:szCs w:val="28"/>
        </w:rPr>
      </w:pPr>
    </w:p>
    <w:p w14:paraId="36339FD9" w14:textId="77777777" w:rsidR="009E4A8F" w:rsidRPr="00B76CE5" w:rsidRDefault="009E4A8F" w:rsidP="00B76CE5">
      <w:pPr>
        <w:pStyle w:val="ListParagraph"/>
        <w:numPr>
          <w:ilvl w:val="2"/>
          <w:numId w:val="2"/>
        </w:numPr>
        <w:rPr>
          <w:bCs/>
          <w:szCs w:val="28"/>
        </w:rPr>
      </w:pPr>
      <w:r w:rsidRPr="00B76CE5">
        <w:rPr>
          <w:bCs/>
          <w:szCs w:val="28"/>
        </w:rPr>
        <w:t xml:space="preserve">All members of staff who are required to drive as an essential part of their duties must hold a valid driving licence, appropriate for the type of vehicle being driven. </w:t>
      </w:r>
    </w:p>
    <w:p w14:paraId="79A56A32" w14:textId="6377DB07" w:rsidR="00CA1D33" w:rsidRPr="00B76CE5" w:rsidRDefault="00CA1D33" w:rsidP="00B76CE5">
      <w:pPr>
        <w:pStyle w:val="ListParagraph"/>
        <w:numPr>
          <w:ilvl w:val="2"/>
          <w:numId w:val="2"/>
        </w:numPr>
        <w:rPr>
          <w:bCs/>
          <w:szCs w:val="28"/>
        </w:rPr>
      </w:pPr>
      <w:r w:rsidRPr="00B76CE5">
        <w:rPr>
          <w:bCs/>
          <w:szCs w:val="28"/>
        </w:rPr>
        <w:t>It is the responsibility of the driver to familiarise themselves with the controls of the vehicle before any journey. This is taught on the, IHCD D1 and D2 or the</w:t>
      </w:r>
      <w:r w:rsidR="00D85A88" w:rsidRPr="00B76CE5">
        <w:rPr>
          <w:bCs/>
          <w:szCs w:val="28"/>
        </w:rPr>
        <w:t xml:space="preserve"> </w:t>
      </w:r>
      <w:r w:rsidRPr="00B76CE5">
        <w:rPr>
          <w:bCs/>
          <w:szCs w:val="28"/>
        </w:rPr>
        <w:t xml:space="preserve">L3CERAD driving course. This is detailed in the Emergency Response Drivers Handbook  </w:t>
      </w:r>
    </w:p>
    <w:p w14:paraId="5546B920" w14:textId="77777777" w:rsidR="00CA1D33" w:rsidRPr="00CA1D33" w:rsidRDefault="00CA1D33" w:rsidP="007977B3">
      <w:pPr>
        <w:rPr>
          <w:bCs/>
          <w:szCs w:val="28"/>
        </w:rPr>
      </w:pPr>
    </w:p>
    <w:p w14:paraId="291777BA" w14:textId="57F93290" w:rsidR="00B76CE5" w:rsidRPr="00F63CDD" w:rsidRDefault="009E4A8F" w:rsidP="00F63CDD">
      <w:pPr>
        <w:pStyle w:val="ListParagraph"/>
        <w:numPr>
          <w:ilvl w:val="1"/>
          <w:numId w:val="2"/>
        </w:numPr>
        <w:rPr>
          <w:b/>
          <w:szCs w:val="28"/>
        </w:rPr>
      </w:pPr>
      <w:r w:rsidRPr="00B76CE5">
        <w:rPr>
          <w:b/>
          <w:szCs w:val="28"/>
        </w:rPr>
        <w:t>Driving Behaviours</w:t>
      </w:r>
    </w:p>
    <w:p w14:paraId="6B299180" w14:textId="26297104" w:rsidR="009E4A8F" w:rsidRDefault="009E4A8F" w:rsidP="00B76CE5">
      <w:pPr>
        <w:pStyle w:val="ListParagraph"/>
        <w:numPr>
          <w:ilvl w:val="2"/>
          <w:numId w:val="2"/>
        </w:numPr>
      </w:pPr>
      <w:r w:rsidRPr="00A0637D">
        <w:lastRenderedPageBreak/>
        <w:t>All drivers must drive in a manner which is professional and appropriate and takes into consideration the characteristics of the vehicle that they are driving and training they have undertaken.</w:t>
      </w:r>
    </w:p>
    <w:p w14:paraId="1EE1677E" w14:textId="77777777" w:rsidR="00B76CE5" w:rsidRPr="00A0637D" w:rsidRDefault="00B76CE5" w:rsidP="00B76CE5">
      <w:pPr>
        <w:pStyle w:val="ListParagraph"/>
        <w:ind w:left="1162"/>
      </w:pPr>
    </w:p>
    <w:p w14:paraId="34BFBB56" w14:textId="0469C8BB" w:rsidR="009E4A8F" w:rsidRPr="00B76CE5" w:rsidRDefault="009E4A8F" w:rsidP="00B76CE5">
      <w:pPr>
        <w:pStyle w:val="ListParagraph"/>
        <w:numPr>
          <w:ilvl w:val="2"/>
          <w:numId w:val="2"/>
        </w:numPr>
        <w:rPr>
          <w:bCs/>
          <w:sz w:val="28"/>
          <w:szCs w:val="28"/>
        </w:rPr>
      </w:pPr>
      <w:bookmarkStart w:id="49" w:name="_Toc483575733"/>
      <w:bookmarkStart w:id="50" w:name="_Toc485909079"/>
      <w:bookmarkStart w:id="51" w:name="_Toc493146277"/>
      <w:bookmarkStart w:id="52" w:name="_Toc493147797"/>
      <w:bookmarkStart w:id="53" w:name="_Toc493669213"/>
      <w:bookmarkStart w:id="54" w:name="_Toc135836946"/>
      <w:bookmarkStart w:id="55" w:name="_Toc135837091"/>
      <w:r w:rsidRPr="00E50B0A">
        <w:t>The overriding responsibility in any situation is to drive safely</w:t>
      </w:r>
      <w:r>
        <w:t xml:space="preserve"> and to not act in any way that may bring the Trust into disrepute.</w:t>
      </w:r>
      <w:bookmarkEnd w:id="49"/>
      <w:bookmarkEnd w:id="50"/>
      <w:bookmarkEnd w:id="51"/>
      <w:bookmarkEnd w:id="52"/>
      <w:bookmarkEnd w:id="53"/>
      <w:bookmarkEnd w:id="54"/>
      <w:bookmarkEnd w:id="55"/>
    </w:p>
    <w:p w14:paraId="4964C9BA" w14:textId="77777777" w:rsidR="00B76CE5" w:rsidRPr="00B76CE5" w:rsidRDefault="00B76CE5" w:rsidP="00B76CE5">
      <w:pPr>
        <w:pStyle w:val="ListParagraph"/>
        <w:rPr>
          <w:bCs/>
          <w:sz w:val="28"/>
          <w:szCs w:val="28"/>
        </w:rPr>
      </w:pPr>
    </w:p>
    <w:p w14:paraId="69464F80" w14:textId="77777777" w:rsidR="00B76CE5" w:rsidRPr="00B76CE5" w:rsidRDefault="00B76CE5" w:rsidP="00B76CE5">
      <w:pPr>
        <w:pStyle w:val="ListParagraph"/>
        <w:ind w:left="1162"/>
        <w:rPr>
          <w:bCs/>
          <w:sz w:val="28"/>
          <w:szCs w:val="28"/>
        </w:rPr>
      </w:pPr>
    </w:p>
    <w:p w14:paraId="3A829202" w14:textId="1DE5EF1A" w:rsidR="009E4A8F" w:rsidRDefault="009E4A8F" w:rsidP="00B76CE5">
      <w:pPr>
        <w:pStyle w:val="ListParagraph"/>
        <w:numPr>
          <w:ilvl w:val="1"/>
          <w:numId w:val="2"/>
        </w:numPr>
        <w:rPr>
          <w:b/>
          <w:szCs w:val="28"/>
        </w:rPr>
      </w:pPr>
      <w:r w:rsidRPr="00B76CE5">
        <w:rPr>
          <w:b/>
          <w:szCs w:val="28"/>
        </w:rPr>
        <w:t>Reversing and Manoeuvring</w:t>
      </w:r>
    </w:p>
    <w:p w14:paraId="1912737E" w14:textId="77777777" w:rsidR="00B76CE5" w:rsidRPr="00B76CE5" w:rsidRDefault="00B76CE5" w:rsidP="00B76CE5">
      <w:pPr>
        <w:pStyle w:val="ListParagraph"/>
        <w:ind w:left="1162"/>
        <w:rPr>
          <w:b/>
          <w:szCs w:val="28"/>
        </w:rPr>
      </w:pPr>
    </w:p>
    <w:p w14:paraId="3E28204E" w14:textId="139B2C32" w:rsidR="009E4A8F" w:rsidRDefault="00CA1D33" w:rsidP="00B76CE5">
      <w:pPr>
        <w:pStyle w:val="ListParagraph"/>
        <w:numPr>
          <w:ilvl w:val="2"/>
          <w:numId w:val="2"/>
        </w:numPr>
        <w:rPr>
          <w:bCs/>
          <w:szCs w:val="28"/>
        </w:rPr>
      </w:pPr>
      <w:r w:rsidRPr="00B76CE5">
        <w:rPr>
          <w:bCs/>
          <w:szCs w:val="28"/>
        </w:rPr>
        <w:t xml:space="preserve">Any person who is required to drive a Trust vehicle when reversing or manoeuvring especially when in confined spaces </w:t>
      </w:r>
      <w:r w:rsidR="00B07853" w:rsidRPr="00B76CE5">
        <w:rPr>
          <w:bCs/>
          <w:szCs w:val="28"/>
        </w:rPr>
        <w:t xml:space="preserve">should wherever possible </w:t>
      </w:r>
      <w:r w:rsidRPr="00B76CE5">
        <w:rPr>
          <w:bCs/>
          <w:szCs w:val="28"/>
        </w:rPr>
        <w:t>MUST be guided by a second person outside the vehicle (wherever possible) with due regard to their own safety. There may be operational exceptions when a second person is unavailable. If there is doubt in the driver’s mind about the situation they are manoeuvring into the driver must stop and alight from the vehicle and assess the situation before proceeding</w:t>
      </w:r>
      <w:r w:rsidR="009E4A8F" w:rsidRPr="00B76CE5">
        <w:rPr>
          <w:bCs/>
          <w:szCs w:val="28"/>
        </w:rPr>
        <w:t xml:space="preserve">. </w:t>
      </w:r>
    </w:p>
    <w:p w14:paraId="42FB2579" w14:textId="77777777" w:rsidR="00B76CE5" w:rsidRPr="00B76CE5" w:rsidRDefault="00B76CE5" w:rsidP="00B76CE5">
      <w:pPr>
        <w:pStyle w:val="ListParagraph"/>
        <w:ind w:left="1162"/>
        <w:rPr>
          <w:bCs/>
          <w:szCs w:val="28"/>
        </w:rPr>
      </w:pPr>
    </w:p>
    <w:p w14:paraId="246C386A" w14:textId="05D005B9" w:rsidR="009E4A8F" w:rsidRDefault="009E4A8F" w:rsidP="00B76CE5">
      <w:pPr>
        <w:pStyle w:val="ListParagraph"/>
        <w:numPr>
          <w:ilvl w:val="2"/>
          <w:numId w:val="2"/>
        </w:numPr>
        <w:rPr>
          <w:bCs/>
          <w:szCs w:val="28"/>
        </w:rPr>
      </w:pPr>
      <w:r w:rsidRPr="00B76CE5">
        <w:rPr>
          <w:bCs/>
          <w:szCs w:val="28"/>
        </w:rPr>
        <w:t>SRVs or other single manned vehicles must also be manoeuvred with due care and again where the driver is unsure or there is any doubt that the route is clear; the driver must alight the vehicle and assess the situation before proceeding.</w:t>
      </w:r>
    </w:p>
    <w:p w14:paraId="5581CFAA" w14:textId="77777777" w:rsidR="00B76CE5" w:rsidRPr="00B76CE5" w:rsidRDefault="00B76CE5" w:rsidP="00B76CE5">
      <w:pPr>
        <w:pStyle w:val="ListParagraph"/>
        <w:rPr>
          <w:bCs/>
          <w:szCs w:val="28"/>
        </w:rPr>
      </w:pPr>
    </w:p>
    <w:p w14:paraId="18782DCD" w14:textId="77777777" w:rsidR="00B76CE5" w:rsidRPr="00B76CE5" w:rsidRDefault="00B76CE5" w:rsidP="00B76CE5">
      <w:pPr>
        <w:pStyle w:val="ListParagraph"/>
        <w:ind w:left="1162"/>
        <w:rPr>
          <w:bCs/>
          <w:szCs w:val="28"/>
        </w:rPr>
      </w:pPr>
    </w:p>
    <w:p w14:paraId="7E081FC8" w14:textId="1668DA1D" w:rsidR="009E4A8F" w:rsidRDefault="009E4A8F" w:rsidP="00B76CE5">
      <w:pPr>
        <w:pStyle w:val="ListParagraph"/>
        <w:numPr>
          <w:ilvl w:val="1"/>
          <w:numId w:val="2"/>
        </w:numPr>
        <w:rPr>
          <w:b/>
          <w:szCs w:val="28"/>
        </w:rPr>
      </w:pPr>
      <w:r w:rsidRPr="00B76CE5">
        <w:rPr>
          <w:b/>
          <w:szCs w:val="28"/>
        </w:rPr>
        <w:t>Categories of Drivers and Training Requirements</w:t>
      </w:r>
    </w:p>
    <w:p w14:paraId="4F843C36" w14:textId="77777777" w:rsidR="00B76CE5" w:rsidRPr="00B76CE5" w:rsidRDefault="00B76CE5" w:rsidP="00B76CE5">
      <w:pPr>
        <w:pStyle w:val="ListParagraph"/>
        <w:ind w:left="1162"/>
        <w:rPr>
          <w:b/>
          <w:szCs w:val="28"/>
        </w:rPr>
      </w:pPr>
    </w:p>
    <w:p w14:paraId="18B83DF6" w14:textId="7C587C0B" w:rsidR="00CE5961" w:rsidRDefault="009E4A8F" w:rsidP="00B76CE5">
      <w:pPr>
        <w:pStyle w:val="ListParagraph"/>
        <w:numPr>
          <w:ilvl w:val="2"/>
          <w:numId w:val="2"/>
        </w:numPr>
      </w:pPr>
      <w:r w:rsidRPr="00AB34C3">
        <w:t>Specific driver training requirements for staff working within all tiers of the service are as follows:</w:t>
      </w:r>
      <w:r w:rsidR="00CE5961">
        <w:br w:type="page"/>
      </w:r>
    </w:p>
    <w:tbl>
      <w:tblPr>
        <w:tblW w:w="9119" w:type="dxa"/>
        <w:tblInd w:w="-5" w:type="dxa"/>
        <w:tblLook w:val="04A0" w:firstRow="1" w:lastRow="0" w:firstColumn="1" w:lastColumn="0" w:noHBand="0" w:noVBand="1"/>
      </w:tblPr>
      <w:tblGrid>
        <w:gridCol w:w="2591"/>
        <w:gridCol w:w="6528"/>
      </w:tblGrid>
      <w:tr w:rsidR="009E4A8F" w:rsidRPr="002806BA" w14:paraId="317D769E" w14:textId="77777777" w:rsidTr="00CA1D33">
        <w:trPr>
          <w:trHeight w:val="377"/>
        </w:trPr>
        <w:tc>
          <w:tcPr>
            <w:tcW w:w="2591" w:type="dxa"/>
            <w:tcBorders>
              <w:top w:val="single" w:sz="4" w:space="0" w:color="auto"/>
              <w:left w:val="single" w:sz="4" w:space="0" w:color="auto"/>
              <w:bottom w:val="single" w:sz="4" w:space="0" w:color="auto"/>
              <w:right w:val="single" w:sz="4" w:space="0" w:color="auto"/>
            </w:tcBorders>
            <w:shd w:val="clear" w:color="000000" w:fill="D9D9D9"/>
            <w:hideMark/>
          </w:tcPr>
          <w:p w14:paraId="6F2DB50C" w14:textId="77777777" w:rsidR="009E4A8F" w:rsidRPr="002806BA" w:rsidRDefault="009E4A8F" w:rsidP="007977B3">
            <w:pPr>
              <w:rPr>
                <w:bCs/>
                <w:color w:val="000000"/>
                <w:sz w:val="28"/>
                <w:szCs w:val="28"/>
                <w:lang w:val="en-US"/>
              </w:rPr>
            </w:pPr>
            <w:r w:rsidRPr="002806BA">
              <w:rPr>
                <w:bCs/>
                <w:color w:val="000000"/>
                <w:sz w:val="28"/>
                <w:szCs w:val="28"/>
                <w:lang w:val="en-US"/>
              </w:rPr>
              <w:lastRenderedPageBreak/>
              <w:t>Role</w:t>
            </w:r>
          </w:p>
        </w:tc>
        <w:tc>
          <w:tcPr>
            <w:tcW w:w="6528" w:type="dxa"/>
            <w:tcBorders>
              <w:top w:val="single" w:sz="4" w:space="0" w:color="auto"/>
              <w:left w:val="nil"/>
              <w:bottom w:val="single" w:sz="4" w:space="0" w:color="auto"/>
              <w:right w:val="single" w:sz="4" w:space="0" w:color="auto"/>
            </w:tcBorders>
            <w:shd w:val="clear" w:color="000000" w:fill="D9D9D9"/>
            <w:noWrap/>
            <w:hideMark/>
          </w:tcPr>
          <w:p w14:paraId="47876D6B" w14:textId="77777777" w:rsidR="009E4A8F" w:rsidRPr="002806BA" w:rsidRDefault="009E4A8F" w:rsidP="007977B3">
            <w:pPr>
              <w:rPr>
                <w:bCs/>
                <w:color w:val="000000"/>
                <w:sz w:val="28"/>
                <w:szCs w:val="28"/>
                <w:lang w:val="en-US"/>
              </w:rPr>
            </w:pPr>
            <w:r w:rsidRPr="002806BA">
              <w:rPr>
                <w:bCs/>
                <w:color w:val="000000"/>
                <w:sz w:val="28"/>
                <w:szCs w:val="28"/>
                <w:lang w:val="en-US"/>
              </w:rPr>
              <w:t>Explanation</w:t>
            </w:r>
          </w:p>
        </w:tc>
      </w:tr>
      <w:tr w:rsidR="00CA1D33" w:rsidRPr="002806BA" w14:paraId="7503885D" w14:textId="77777777" w:rsidTr="00CA1D33">
        <w:trPr>
          <w:trHeight w:val="3517"/>
        </w:trPr>
        <w:tc>
          <w:tcPr>
            <w:tcW w:w="2591" w:type="dxa"/>
            <w:tcBorders>
              <w:top w:val="nil"/>
              <w:left w:val="single" w:sz="4" w:space="0" w:color="auto"/>
              <w:bottom w:val="single" w:sz="4" w:space="0" w:color="auto"/>
              <w:right w:val="single" w:sz="4" w:space="0" w:color="auto"/>
            </w:tcBorders>
            <w:vAlign w:val="center"/>
            <w:hideMark/>
          </w:tcPr>
          <w:p w14:paraId="353C4F96" w14:textId="77777777" w:rsidR="00CA1D33" w:rsidRPr="002806BA" w:rsidRDefault="00CA1D33" w:rsidP="007977B3">
            <w:pPr>
              <w:rPr>
                <w:color w:val="000000"/>
                <w:szCs w:val="24"/>
                <w:lang w:val="en-US"/>
              </w:rPr>
            </w:pPr>
            <w:r w:rsidRPr="002806BA">
              <w:rPr>
                <w:color w:val="000000"/>
                <w:szCs w:val="24"/>
                <w:lang w:val="en-US"/>
              </w:rPr>
              <w:t>Operational Emergency Drivers</w:t>
            </w:r>
          </w:p>
        </w:tc>
        <w:tc>
          <w:tcPr>
            <w:tcW w:w="6528" w:type="dxa"/>
            <w:tcBorders>
              <w:top w:val="nil"/>
              <w:left w:val="nil"/>
              <w:bottom w:val="single" w:sz="4" w:space="0" w:color="auto"/>
              <w:right w:val="single" w:sz="4" w:space="0" w:color="auto"/>
            </w:tcBorders>
            <w:hideMark/>
          </w:tcPr>
          <w:p w14:paraId="65C5EC35" w14:textId="2F5337D6" w:rsidR="00CA1D33" w:rsidRPr="002806BA" w:rsidRDefault="00CA1D33" w:rsidP="007977B3">
            <w:pPr>
              <w:rPr>
                <w:color w:val="000000"/>
                <w:szCs w:val="24"/>
                <w:lang w:val="en-US"/>
              </w:rPr>
            </w:pPr>
            <w:r w:rsidRPr="002806BA">
              <w:rPr>
                <w:color w:val="000000"/>
                <w:szCs w:val="24"/>
                <w:lang w:val="en-US"/>
              </w:rPr>
              <w:t>All employees or those working on behalf of the trust that are required to drive under emergency conditions are required to hold a valid driving licence for the category of vehicle being driven and to have successfully completed an IHCD D1 and D2</w:t>
            </w:r>
            <w:r>
              <w:rPr>
                <w:color w:val="000000"/>
                <w:szCs w:val="24"/>
                <w:lang w:val="en-US"/>
              </w:rPr>
              <w:t>, or L3CERAD</w:t>
            </w:r>
            <w:r w:rsidRPr="002806BA">
              <w:rPr>
                <w:color w:val="000000"/>
                <w:szCs w:val="24"/>
                <w:lang w:val="en-US"/>
              </w:rPr>
              <w:t xml:space="preserve"> Driving Course</w:t>
            </w:r>
            <w:r>
              <w:rPr>
                <w:color w:val="000000"/>
                <w:szCs w:val="24"/>
                <w:lang w:val="en-US"/>
              </w:rPr>
              <w:t>.</w:t>
            </w:r>
            <w:r w:rsidRPr="002806BA">
              <w:rPr>
                <w:color w:val="000000"/>
                <w:szCs w:val="24"/>
                <w:lang w:val="en-US"/>
              </w:rPr>
              <w:t xml:space="preserve"> </w:t>
            </w:r>
            <w:r w:rsidR="003361C9">
              <w:rPr>
                <w:color w:val="000000"/>
                <w:szCs w:val="24"/>
                <w:lang w:val="en-US"/>
              </w:rPr>
              <w:t>S</w:t>
            </w:r>
            <w:r w:rsidR="009C5B1F">
              <w:rPr>
                <w:color w:val="000000"/>
                <w:szCs w:val="24"/>
                <w:lang w:val="en-US"/>
              </w:rPr>
              <w:t xml:space="preserve">hould </w:t>
            </w:r>
            <w:r w:rsidRPr="002806BA">
              <w:rPr>
                <w:color w:val="000000"/>
                <w:szCs w:val="24"/>
                <w:lang w:val="en-US"/>
              </w:rPr>
              <w:t>Section 19 of the Road Safety Act 2006</w:t>
            </w:r>
            <w:r w:rsidR="009C5B1F">
              <w:rPr>
                <w:color w:val="000000"/>
                <w:szCs w:val="24"/>
                <w:lang w:val="en-US"/>
              </w:rPr>
              <w:t xml:space="preserve"> be introduced</w:t>
            </w:r>
            <w:r w:rsidRPr="002806BA">
              <w:rPr>
                <w:color w:val="000000"/>
                <w:szCs w:val="24"/>
                <w:lang w:val="en-US"/>
              </w:rPr>
              <w:t xml:space="preserve"> </w:t>
            </w:r>
            <w:r w:rsidR="009C5B1F">
              <w:rPr>
                <w:color w:val="000000"/>
                <w:szCs w:val="24"/>
                <w:lang w:val="en-US"/>
              </w:rPr>
              <w:t>r</w:t>
            </w:r>
            <w:r w:rsidR="009C5B1F" w:rsidRPr="002806BA">
              <w:rPr>
                <w:color w:val="000000"/>
                <w:szCs w:val="24"/>
                <w:lang w:val="en-US"/>
              </w:rPr>
              <w:t xml:space="preserve">egular assessments for Trust staff will be completed every five years or sooner in line with the requirements </w:t>
            </w:r>
            <w:r w:rsidRPr="002806BA">
              <w:rPr>
                <w:color w:val="000000"/>
                <w:szCs w:val="24"/>
                <w:lang w:val="en-US"/>
              </w:rPr>
              <w:t>and will be completed by an accredited driving instructor or driving assessor to ensure competency is maintained or following a recommendation made from an untoward incident or accident investigation. Those who work on behalf of the Trust, but employed by another agency must ensure that their staff are competent to drive under emergency conditions and that competency is documented on a high speed register.</w:t>
            </w:r>
          </w:p>
        </w:tc>
      </w:tr>
      <w:tr w:rsidR="009E4A8F" w:rsidRPr="002806BA" w14:paraId="11A5D264" w14:textId="77777777" w:rsidTr="00CA1D33">
        <w:trPr>
          <w:trHeight w:val="2839"/>
        </w:trPr>
        <w:tc>
          <w:tcPr>
            <w:tcW w:w="2591" w:type="dxa"/>
            <w:tcBorders>
              <w:top w:val="nil"/>
              <w:left w:val="single" w:sz="4" w:space="0" w:color="auto"/>
              <w:bottom w:val="single" w:sz="4" w:space="0" w:color="auto"/>
              <w:right w:val="single" w:sz="4" w:space="0" w:color="auto"/>
            </w:tcBorders>
            <w:vAlign w:val="center"/>
            <w:hideMark/>
          </w:tcPr>
          <w:p w14:paraId="23935332" w14:textId="77777777" w:rsidR="009E4A8F" w:rsidRPr="002806BA" w:rsidRDefault="009E4A8F" w:rsidP="007977B3">
            <w:pPr>
              <w:rPr>
                <w:color w:val="000000"/>
                <w:szCs w:val="24"/>
                <w:lang w:val="en-US"/>
              </w:rPr>
            </w:pPr>
            <w:r w:rsidRPr="002806BA">
              <w:rPr>
                <w:color w:val="000000"/>
                <w:szCs w:val="24"/>
                <w:lang w:val="en-US"/>
              </w:rPr>
              <w:t xml:space="preserve">Operational Non - Emergency Drivers </w:t>
            </w:r>
          </w:p>
        </w:tc>
        <w:tc>
          <w:tcPr>
            <w:tcW w:w="6528" w:type="dxa"/>
            <w:tcBorders>
              <w:top w:val="nil"/>
              <w:left w:val="nil"/>
              <w:bottom w:val="single" w:sz="4" w:space="0" w:color="auto"/>
              <w:right w:val="single" w:sz="4" w:space="0" w:color="auto"/>
            </w:tcBorders>
            <w:hideMark/>
          </w:tcPr>
          <w:p w14:paraId="65EB5EEF" w14:textId="2E961B81" w:rsidR="009E4A8F" w:rsidRPr="002806BA" w:rsidRDefault="009E4A8F" w:rsidP="007977B3">
            <w:pPr>
              <w:rPr>
                <w:color w:val="000000"/>
                <w:szCs w:val="24"/>
                <w:lang w:val="en-US"/>
              </w:rPr>
            </w:pPr>
            <w:r w:rsidRPr="002806BA">
              <w:rPr>
                <w:color w:val="000000"/>
                <w:szCs w:val="24"/>
                <w:lang w:val="en-US"/>
              </w:rPr>
              <w:t xml:space="preserve">All operational employees or those working on our behalf but employed by another agency that are required to drive patient carrying vehicles under non-emergency conditions are required to hold a valid driving licence with a C1 entitlement and to undertake the IHCD D1 course, or equivalent. Regular assessments for Trust staff will be completed every five years by an accredited driving assessor to ensure competency is maintained, or following a recommendation made from an untoward incident or accident investigation. </w:t>
            </w:r>
            <w:r w:rsidR="001B3A73">
              <w:rPr>
                <w:color w:val="000000"/>
                <w:szCs w:val="24"/>
                <w:lang w:val="en-US"/>
              </w:rPr>
              <w:t>The employers of t</w:t>
            </w:r>
            <w:r w:rsidRPr="002806BA">
              <w:rPr>
                <w:color w:val="000000"/>
                <w:szCs w:val="24"/>
                <w:lang w:val="en-US"/>
              </w:rPr>
              <w:t xml:space="preserve">hose who work on behalf of the Trust, but </w:t>
            </w:r>
            <w:r w:rsidR="001B3A73">
              <w:rPr>
                <w:color w:val="000000"/>
                <w:szCs w:val="24"/>
                <w:lang w:val="en-US"/>
              </w:rPr>
              <w:t xml:space="preserve">are </w:t>
            </w:r>
            <w:r w:rsidRPr="002806BA">
              <w:rPr>
                <w:color w:val="000000"/>
                <w:szCs w:val="24"/>
                <w:lang w:val="en-US"/>
              </w:rPr>
              <w:t>employed by another agency must ensure that their staff are competent to drive for these conditions and that their competence to drive is documented</w:t>
            </w:r>
          </w:p>
        </w:tc>
      </w:tr>
      <w:tr w:rsidR="009E4A8F" w:rsidRPr="002806BA" w14:paraId="79685395" w14:textId="77777777" w:rsidTr="00CA1D33">
        <w:trPr>
          <w:trHeight w:val="946"/>
        </w:trPr>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2184F875" w14:textId="77777777" w:rsidR="009E4A8F" w:rsidRPr="002806BA" w:rsidRDefault="009E4A8F" w:rsidP="007977B3">
            <w:pPr>
              <w:rPr>
                <w:color w:val="000000"/>
                <w:szCs w:val="24"/>
                <w:lang w:val="en-US"/>
              </w:rPr>
            </w:pPr>
            <w:r w:rsidRPr="002806BA">
              <w:rPr>
                <w:color w:val="000000"/>
                <w:szCs w:val="24"/>
                <w:lang w:val="en-US"/>
              </w:rPr>
              <w:t>Non - Operational Drivers (Make Ready Operatives/Production Desk Drivers)</w:t>
            </w:r>
          </w:p>
        </w:tc>
        <w:tc>
          <w:tcPr>
            <w:tcW w:w="6528" w:type="dxa"/>
            <w:tcBorders>
              <w:top w:val="single" w:sz="4" w:space="0" w:color="auto"/>
              <w:left w:val="nil"/>
              <w:bottom w:val="single" w:sz="4" w:space="0" w:color="auto"/>
              <w:right w:val="single" w:sz="4" w:space="0" w:color="auto"/>
            </w:tcBorders>
            <w:hideMark/>
          </w:tcPr>
          <w:p w14:paraId="053C67D7" w14:textId="77777777" w:rsidR="009E4A8F" w:rsidRPr="002806BA" w:rsidRDefault="009E4A8F" w:rsidP="007977B3">
            <w:pPr>
              <w:rPr>
                <w:color w:val="000000"/>
                <w:szCs w:val="24"/>
                <w:lang w:val="en-US"/>
              </w:rPr>
            </w:pPr>
            <w:r w:rsidRPr="002806BA">
              <w:rPr>
                <w:color w:val="000000"/>
                <w:szCs w:val="24"/>
                <w:lang w:val="en-US"/>
              </w:rPr>
              <w:t xml:space="preserve">All employees including sub-contractors must undertake a driving assessment, undertaken by a Trust approved driving instructor or driving assessor prior to driving any Trust vehicle. </w:t>
            </w:r>
          </w:p>
        </w:tc>
      </w:tr>
      <w:tr w:rsidR="009E4A8F" w:rsidRPr="002806BA" w14:paraId="0DC38C25" w14:textId="77777777" w:rsidTr="00CA1D33">
        <w:trPr>
          <w:trHeight w:val="1261"/>
        </w:trPr>
        <w:tc>
          <w:tcPr>
            <w:tcW w:w="2591" w:type="dxa"/>
            <w:vMerge/>
            <w:tcBorders>
              <w:top w:val="single" w:sz="4" w:space="0" w:color="auto"/>
              <w:left w:val="single" w:sz="4" w:space="0" w:color="auto"/>
              <w:bottom w:val="single" w:sz="4" w:space="0" w:color="auto"/>
              <w:right w:val="single" w:sz="4" w:space="0" w:color="auto"/>
            </w:tcBorders>
            <w:vAlign w:val="center"/>
            <w:hideMark/>
          </w:tcPr>
          <w:p w14:paraId="325B68FA" w14:textId="77777777" w:rsidR="009E4A8F" w:rsidRPr="002806BA" w:rsidRDefault="009E4A8F" w:rsidP="007977B3">
            <w:pPr>
              <w:rPr>
                <w:color w:val="000000"/>
                <w:szCs w:val="24"/>
                <w:lang w:val="en-US"/>
              </w:rPr>
            </w:pPr>
          </w:p>
        </w:tc>
        <w:tc>
          <w:tcPr>
            <w:tcW w:w="6528" w:type="dxa"/>
            <w:tcBorders>
              <w:top w:val="single" w:sz="4" w:space="0" w:color="auto"/>
              <w:left w:val="nil"/>
              <w:bottom w:val="single" w:sz="4" w:space="0" w:color="auto"/>
              <w:right w:val="single" w:sz="4" w:space="0" w:color="auto"/>
            </w:tcBorders>
            <w:hideMark/>
          </w:tcPr>
          <w:p w14:paraId="77D6FD62" w14:textId="596BEECF" w:rsidR="009E4A8F" w:rsidRPr="002806BA" w:rsidRDefault="009E4A8F" w:rsidP="007977B3">
            <w:pPr>
              <w:rPr>
                <w:color w:val="000000"/>
                <w:szCs w:val="24"/>
                <w:lang w:val="en-US"/>
              </w:rPr>
            </w:pPr>
            <w:r w:rsidRPr="002806BA">
              <w:rPr>
                <w:color w:val="000000"/>
                <w:szCs w:val="24"/>
                <w:lang w:val="en-US"/>
              </w:rPr>
              <w:t>All private and voluntary ambulance services</w:t>
            </w:r>
            <w:r w:rsidR="0082309D">
              <w:rPr>
                <w:color w:val="000000"/>
                <w:szCs w:val="24"/>
                <w:lang w:val="en-US"/>
              </w:rPr>
              <w:t xml:space="preserve"> staff</w:t>
            </w:r>
            <w:r w:rsidRPr="002806BA">
              <w:rPr>
                <w:color w:val="000000"/>
                <w:szCs w:val="24"/>
                <w:lang w:val="en-US"/>
              </w:rPr>
              <w:t xml:space="preserve"> acting on behalf of the Trust will have their driving qualifications scrutinised in order to ensure they meet the same requirements as those to which Trust staff must comply. This will be a feature of any Service Level Agreement.</w:t>
            </w:r>
          </w:p>
        </w:tc>
      </w:tr>
      <w:tr w:rsidR="009E4A8F" w:rsidRPr="002806BA" w14:paraId="33560923" w14:textId="77777777" w:rsidTr="00CA1D33">
        <w:trPr>
          <w:trHeight w:val="977"/>
        </w:trPr>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21E41E84" w14:textId="77777777" w:rsidR="009E4A8F" w:rsidRPr="002806BA" w:rsidRDefault="009E4A8F" w:rsidP="007977B3">
            <w:pPr>
              <w:rPr>
                <w:color w:val="000000"/>
                <w:szCs w:val="24"/>
                <w:lang w:val="en-US"/>
              </w:rPr>
            </w:pPr>
            <w:r w:rsidRPr="002806BA">
              <w:rPr>
                <w:color w:val="000000"/>
                <w:szCs w:val="24"/>
                <w:lang w:val="en-US"/>
              </w:rPr>
              <w:t>Community First Responders (CFR)</w:t>
            </w:r>
          </w:p>
        </w:tc>
        <w:tc>
          <w:tcPr>
            <w:tcW w:w="6528" w:type="dxa"/>
            <w:tcBorders>
              <w:top w:val="single" w:sz="4" w:space="0" w:color="auto"/>
              <w:left w:val="nil"/>
              <w:bottom w:val="single" w:sz="4" w:space="0" w:color="auto"/>
              <w:right w:val="single" w:sz="4" w:space="0" w:color="auto"/>
            </w:tcBorders>
            <w:hideMark/>
          </w:tcPr>
          <w:p w14:paraId="477374D6" w14:textId="77777777" w:rsidR="009E4A8F" w:rsidRPr="002806BA" w:rsidRDefault="009E4A8F" w:rsidP="007977B3">
            <w:pPr>
              <w:rPr>
                <w:color w:val="000000"/>
                <w:szCs w:val="24"/>
                <w:lang w:val="en-US"/>
              </w:rPr>
            </w:pPr>
            <w:r w:rsidRPr="002806BA">
              <w:rPr>
                <w:color w:val="000000"/>
                <w:szCs w:val="24"/>
                <w:lang w:val="en-US"/>
              </w:rPr>
              <w:t>All volunteers who drive one of the CFR vehicles must undertake an initial driving assessment and one thereafter every five years, undertaken by a Trust approved driving instructor or driving assessor prior to carrying any passengers on behalf of the Trust.</w:t>
            </w:r>
          </w:p>
        </w:tc>
      </w:tr>
      <w:tr w:rsidR="009E4A8F" w:rsidRPr="002806BA" w14:paraId="4B340012" w14:textId="77777777" w:rsidTr="00CA1D33">
        <w:trPr>
          <w:trHeight w:val="630"/>
        </w:trPr>
        <w:tc>
          <w:tcPr>
            <w:tcW w:w="2591" w:type="dxa"/>
            <w:vMerge/>
            <w:tcBorders>
              <w:top w:val="single" w:sz="4" w:space="0" w:color="auto"/>
              <w:left w:val="single" w:sz="4" w:space="0" w:color="auto"/>
              <w:bottom w:val="single" w:sz="4" w:space="0" w:color="auto"/>
              <w:right w:val="single" w:sz="4" w:space="0" w:color="auto"/>
            </w:tcBorders>
            <w:vAlign w:val="center"/>
            <w:hideMark/>
          </w:tcPr>
          <w:p w14:paraId="06A963ED" w14:textId="77777777" w:rsidR="009E4A8F" w:rsidRPr="002806BA" w:rsidRDefault="009E4A8F" w:rsidP="007977B3">
            <w:pPr>
              <w:rPr>
                <w:color w:val="000000"/>
                <w:szCs w:val="24"/>
                <w:lang w:val="en-US"/>
              </w:rPr>
            </w:pPr>
          </w:p>
        </w:tc>
        <w:tc>
          <w:tcPr>
            <w:tcW w:w="6528" w:type="dxa"/>
            <w:tcBorders>
              <w:top w:val="single" w:sz="4" w:space="0" w:color="auto"/>
              <w:left w:val="nil"/>
              <w:bottom w:val="single" w:sz="4" w:space="0" w:color="auto"/>
              <w:right w:val="single" w:sz="4" w:space="0" w:color="auto"/>
            </w:tcBorders>
            <w:hideMark/>
          </w:tcPr>
          <w:p w14:paraId="2B6B3744" w14:textId="44EB2E99" w:rsidR="009E4A8F" w:rsidRPr="002806BA" w:rsidRDefault="009E4A8F" w:rsidP="007977B3">
            <w:pPr>
              <w:rPr>
                <w:color w:val="000000"/>
                <w:szCs w:val="24"/>
                <w:lang w:val="en-US"/>
              </w:rPr>
            </w:pPr>
            <w:r w:rsidRPr="002806BA">
              <w:rPr>
                <w:color w:val="000000"/>
                <w:szCs w:val="24"/>
                <w:lang w:val="en-US"/>
              </w:rPr>
              <w:t>Any livery or signage displayed to CFR vehicles must be approved by the Voluntary Services Manager.</w:t>
            </w:r>
            <w:r w:rsidR="007421BB">
              <w:rPr>
                <w:color w:val="000000"/>
                <w:szCs w:val="24"/>
                <w:lang w:val="en-US"/>
              </w:rPr>
              <w:t xml:space="preserve"> CFR vehicles must not be fitted and/or display additional visual warning devices (i.e. blue or amber beacons) or sirens. </w:t>
            </w:r>
          </w:p>
        </w:tc>
      </w:tr>
    </w:tbl>
    <w:p w14:paraId="24F3A09C" w14:textId="77777777" w:rsidR="009E4A8F" w:rsidRPr="00B76CE5" w:rsidRDefault="009E4A8F" w:rsidP="00B76CE5">
      <w:pPr>
        <w:pStyle w:val="ListParagraph"/>
        <w:ind w:left="1162"/>
        <w:rPr>
          <w:bCs/>
          <w:szCs w:val="28"/>
        </w:rPr>
      </w:pPr>
    </w:p>
    <w:p w14:paraId="316553FE" w14:textId="1A38A1B9" w:rsidR="009E4A8F" w:rsidRDefault="009E4A8F" w:rsidP="00B76CE5">
      <w:pPr>
        <w:pStyle w:val="ListParagraph"/>
        <w:numPr>
          <w:ilvl w:val="1"/>
          <w:numId w:val="2"/>
        </w:numPr>
        <w:rPr>
          <w:b/>
          <w:szCs w:val="28"/>
        </w:rPr>
      </w:pPr>
      <w:r w:rsidRPr="00B76CE5">
        <w:rPr>
          <w:b/>
          <w:szCs w:val="28"/>
        </w:rPr>
        <w:t>Maintaining Standards</w:t>
      </w:r>
    </w:p>
    <w:p w14:paraId="09A100D7" w14:textId="77777777" w:rsidR="00B76CE5" w:rsidRPr="00B76CE5" w:rsidRDefault="00B76CE5" w:rsidP="00B76CE5">
      <w:pPr>
        <w:pStyle w:val="ListParagraph"/>
        <w:ind w:left="1162"/>
        <w:rPr>
          <w:b/>
          <w:szCs w:val="28"/>
        </w:rPr>
      </w:pPr>
    </w:p>
    <w:p w14:paraId="17541084" w14:textId="37ED9551" w:rsidR="009E4A8F" w:rsidRDefault="009E4A8F" w:rsidP="00B76CE5">
      <w:pPr>
        <w:pStyle w:val="ListParagraph"/>
        <w:numPr>
          <w:ilvl w:val="2"/>
          <w:numId w:val="2"/>
        </w:numPr>
      </w:pPr>
      <w:r>
        <w:t>All Drivers must be aware of the Trust’s requirements with regard to Emergency Driving and the Law (Please see Emergency Driving and the Law Procedure)</w:t>
      </w:r>
    </w:p>
    <w:p w14:paraId="30862323" w14:textId="77777777" w:rsidR="00B76CE5" w:rsidRDefault="00B76CE5" w:rsidP="00B76CE5">
      <w:pPr>
        <w:pStyle w:val="ListParagraph"/>
        <w:ind w:left="1162"/>
      </w:pPr>
    </w:p>
    <w:p w14:paraId="0F0A583F" w14:textId="531A3618" w:rsidR="009E4A8F" w:rsidRDefault="009E4A8F" w:rsidP="00B76CE5">
      <w:pPr>
        <w:pStyle w:val="ListParagraph"/>
        <w:numPr>
          <w:ilvl w:val="2"/>
          <w:numId w:val="2"/>
        </w:numPr>
        <w:rPr>
          <w:bCs/>
          <w:szCs w:val="28"/>
        </w:rPr>
      </w:pPr>
      <w:r w:rsidRPr="00B76CE5">
        <w:rPr>
          <w:bCs/>
          <w:szCs w:val="28"/>
        </w:rPr>
        <w:t>Any member of staff that has three of more Trust vehicle collisions in any twelve-month period will be subject to a review of their driving competency by the Driver Training department. It is the responsibility of their line manager to refer them for this review.</w:t>
      </w:r>
    </w:p>
    <w:p w14:paraId="2F9A1AAD" w14:textId="77777777" w:rsidR="00B76CE5" w:rsidRPr="00F63CDD" w:rsidRDefault="00B76CE5" w:rsidP="00F63CDD">
      <w:pPr>
        <w:rPr>
          <w:bCs/>
          <w:szCs w:val="28"/>
        </w:rPr>
      </w:pPr>
    </w:p>
    <w:p w14:paraId="1AE81685" w14:textId="4439CC6D" w:rsidR="009E4A8F" w:rsidRDefault="00234FDF" w:rsidP="00B76CE5">
      <w:pPr>
        <w:pStyle w:val="ListParagraph"/>
        <w:numPr>
          <w:ilvl w:val="2"/>
          <w:numId w:val="2"/>
        </w:numPr>
        <w:rPr>
          <w:bCs/>
          <w:szCs w:val="28"/>
        </w:rPr>
      </w:pPr>
      <w:r w:rsidRPr="00B76CE5">
        <w:rPr>
          <w:bCs/>
          <w:szCs w:val="28"/>
        </w:rPr>
        <w:t>Any driver involved in a collision that causes a fatality or hospitalising injury, or causes significant damage to property or a vehicle rendering it either unfit for task or un-roadworthy will immediately be withdrawn from driving duties until an incident investigation has been completed.</w:t>
      </w:r>
      <w:r w:rsidR="00F416D8" w:rsidRPr="00B76CE5">
        <w:rPr>
          <w:bCs/>
          <w:szCs w:val="28"/>
        </w:rPr>
        <w:t>. This will be monitored by the Professional Standards Team who will ensure that all investigations are conducted as soon as is practicable. Where necessary, staff will be re-deployed in a non-driving role until the investigation is concluded</w:t>
      </w:r>
      <w:r w:rsidR="00B07853" w:rsidRPr="00B76CE5">
        <w:rPr>
          <w:bCs/>
          <w:szCs w:val="28"/>
        </w:rPr>
        <w:t>.</w:t>
      </w:r>
    </w:p>
    <w:p w14:paraId="78645BFE" w14:textId="77777777" w:rsidR="00B76CE5" w:rsidRPr="00B76CE5" w:rsidRDefault="00B76CE5" w:rsidP="00B76CE5">
      <w:pPr>
        <w:pStyle w:val="ListParagraph"/>
        <w:ind w:left="1162"/>
        <w:rPr>
          <w:bCs/>
          <w:szCs w:val="28"/>
        </w:rPr>
      </w:pPr>
    </w:p>
    <w:p w14:paraId="33F2376C" w14:textId="4AA6BED4" w:rsidR="009E4A8F" w:rsidRDefault="009E4A8F" w:rsidP="00B76CE5">
      <w:pPr>
        <w:pStyle w:val="ListParagraph"/>
        <w:numPr>
          <w:ilvl w:val="2"/>
          <w:numId w:val="2"/>
        </w:numPr>
        <w:rPr>
          <w:bCs/>
          <w:szCs w:val="28"/>
        </w:rPr>
      </w:pPr>
      <w:r w:rsidRPr="00B76CE5">
        <w:rPr>
          <w:bCs/>
          <w:szCs w:val="28"/>
        </w:rPr>
        <w:t xml:space="preserve">The Trust is committed to ensuring that all staff have the appropriate training and education to fulfil their duties in respect of driving across the Trust. </w:t>
      </w:r>
    </w:p>
    <w:p w14:paraId="15557CB9" w14:textId="77777777" w:rsidR="00B76CE5" w:rsidRPr="00B76CE5" w:rsidRDefault="00B76CE5" w:rsidP="00B76CE5">
      <w:pPr>
        <w:pStyle w:val="ListParagraph"/>
        <w:rPr>
          <w:bCs/>
          <w:szCs w:val="28"/>
        </w:rPr>
      </w:pPr>
    </w:p>
    <w:p w14:paraId="79F3B436" w14:textId="77777777" w:rsidR="00B76CE5" w:rsidRPr="00B76CE5" w:rsidRDefault="00B76CE5" w:rsidP="00B76CE5">
      <w:pPr>
        <w:pStyle w:val="ListParagraph"/>
        <w:ind w:left="1162"/>
        <w:rPr>
          <w:bCs/>
          <w:szCs w:val="28"/>
        </w:rPr>
      </w:pPr>
    </w:p>
    <w:p w14:paraId="6E450199" w14:textId="170CB866" w:rsidR="009E4A8F" w:rsidRDefault="009E4A8F" w:rsidP="00B76CE5">
      <w:pPr>
        <w:pStyle w:val="ListParagraph"/>
        <w:numPr>
          <w:ilvl w:val="1"/>
          <w:numId w:val="2"/>
        </w:numPr>
        <w:rPr>
          <w:b/>
          <w:szCs w:val="28"/>
        </w:rPr>
      </w:pPr>
      <w:r w:rsidRPr="00B76CE5">
        <w:rPr>
          <w:b/>
          <w:szCs w:val="28"/>
        </w:rPr>
        <w:t>Reporting Incidents and Collisions</w:t>
      </w:r>
    </w:p>
    <w:p w14:paraId="5E0AD9EC" w14:textId="77777777" w:rsidR="00F40800" w:rsidRPr="00B76CE5" w:rsidRDefault="00F40800" w:rsidP="00F40800">
      <w:pPr>
        <w:pStyle w:val="ListParagraph"/>
        <w:ind w:left="1162"/>
        <w:rPr>
          <w:b/>
          <w:szCs w:val="28"/>
        </w:rPr>
      </w:pPr>
    </w:p>
    <w:p w14:paraId="39867480" w14:textId="7AE9556C" w:rsidR="003211F2" w:rsidRPr="00F40800" w:rsidRDefault="003211F2" w:rsidP="00F40800">
      <w:pPr>
        <w:pStyle w:val="ListParagraph"/>
        <w:numPr>
          <w:ilvl w:val="2"/>
          <w:numId w:val="2"/>
        </w:numPr>
        <w:rPr>
          <w:rFonts w:ascii="Calibri" w:hAnsi="Calibri"/>
          <w:sz w:val="22"/>
        </w:rPr>
      </w:pPr>
      <w:r w:rsidRPr="00346B09">
        <w:t>The Driver, or, in their absence the Duty Operational Commander or line manager should:</w:t>
      </w:r>
    </w:p>
    <w:p w14:paraId="647F16F4" w14:textId="77777777" w:rsidR="003211F2" w:rsidRPr="00346B09" w:rsidRDefault="003211F2" w:rsidP="007977B3">
      <w:pPr>
        <w:rPr>
          <w:rFonts w:ascii="Calibri" w:hAnsi="Calibri"/>
          <w:sz w:val="22"/>
        </w:rPr>
      </w:pPr>
    </w:p>
    <w:p w14:paraId="723C3193" w14:textId="6903FDF6" w:rsidR="003211F2" w:rsidRDefault="003211F2" w:rsidP="00F40800">
      <w:pPr>
        <w:pStyle w:val="ListParagraph"/>
        <w:numPr>
          <w:ilvl w:val="2"/>
          <w:numId w:val="2"/>
        </w:numPr>
      </w:pPr>
      <w:r w:rsidRPr="00346B09">
        <w:t>Contact</w:t>
      </w:r>
      <w:r w:rsidR="00B24BBE">
        <w:t xml:space="preserve"> the </w:t>
      </w:r>
      <w:r w:rsidRPr="00346B09">
        <w:t>Production Desk and inform them of the incident.  The person reporting the accident will need vehicle and driver details, third party vehicle and driver details including a contact number, location of the incident and relevant information for the follow up collision report.</w:t>
      </w:r>
    </w:p>
    <w:p w14:paraId="5932A646" w14:textId="77777777" w:rsidR="00F40800" w:rsidRPr="00346B09" w:rsidRDefault="00F40800" w:rsidP="00F63CDD"/>
    <w:p w14:paraId="4A49B3FD" w14:textId="46470DD1" w:rsidR="003211F2" w:rsidRDefault="003211F2" w:rsidP="00F40800">
      <w:pPr>
        <w:pStyle w:val="ListParagraph"/>
        <w:numPr>
          <w:ilvl w:val="2"/>
          <w:numId w:val="2"/>
        </w:numPr>
      </w:pPr>
      <w:r w:rsidRPr="00346B09">
        <w:t>Drivers should not admit liability or inform the third party that a Trust representative will contact them. The third party should contact their own insurer who will progress the matter</w:t>
      </w:r>
      <w:r w:rsidR="00F40800">
        <w:t>.</w:t>
      </w:r>
    </w:p>
    <w:p w14:paraId="2EE9E00C" w14:textId="77777777" w:rsidR="00F40800" w:rsidRPr="00346B09" w:rsidRDefault="00F40800" w:rsidP="00F40800">
      <w:pPr>
        <w:pStyle w:val="ListParagraph"/>
        <w:ind w:left="1162"/>
      </w:pPr>
    </w:p>
    <w:p w14:paraId="38B280E8" w14:textId="4B01B7D0" w:rsidR="003211F2" w:rsidRDefault="003211F2" w:rsidP="00F40800">
      <w:pPr>
        <w:pStyle w:val="ListParagraph"/>
        <w:numPr>
          <w:ilvl w:val="2"/>
          <w:numId w:val="2"/>
        </w:numPr>
      </w:pPr>
      <w:r w:rsidRPr="00346B09">
        <w:t xml:space="preserve">Once the driver sections have been completed the RTC form should immediately be sent to </w:t>
      </w:r>
      <w:hyperlink r:id="rId16" w:history="1">
        <w:r w:rsidRPr="00346B09">
          <w:t>fleetinsuranceclaims@secamb.nhs.uk</w:t>
        </w:r>
      </w:hyperlink>
      <w:r w:rsidRPr="00346B09">
        <w:t xml:space="preserve"> and concurrently forwarded to the individuals line manager for investigation. To facilitate a timely response from the Trust insurers</w:t>
      </w:r>
      <w:r w:rsidR="00B07853">
        <w:t xml:space="preserve">, </w:t>
      </w:r>
      <w:r w:rsidRPr="00346B09">
        <w:t>forms should not be held waiting for the manager input. An I</w:t>
      </w:r>
      <w:r>
        <w:t>W</w:t>
      </w:r>
      <w:r w:rsidRPr="00CA1D33">
        <w:t>R</w:t>
      </w:r>
      <w:r w:rsidRPr="00346B09">
        <w:t>1</w:t>
      </w:r>
      <w:r w:rsidRPr="00CA1D33">
        <w:t xml:space="preserve"> must also be completed on the D</w:t>
      </w:r>
      <w:r w:rsidRPr="00346B09">
        <w:t>atix system.</w:t>
      </w:r>
    </w:p>
    <w:p w14:paraId="37315FB9" w14:textId="77777777" w:rsidR="00F40800" w:rsidRDefault="00F40800" w:rsidP="00F40800">
      <w:pPr>
        <w:pStyle w:val="ListParagraph"/>
      </w:pPr>
    </w:p>
    <w:p w14:paraId="1BF593BC" w14:textId="77777777" w:rsidR="00F40800" w:rsidRPr="00346B09" w:rsidRDefault="00F40800" w:rsidP="00F40800">
      <w:pPr>
        <w:pStyle w:val="ListParagraph"/>
        <w:ind w:left="1162"/>
      </w:pPr>
    </w:p>
    <w:p w14:paraId="53F74417" w14:textId="05C5DC51" w:rsidR="00CE5961" w:rsidRDefault="003211F2" w:rsidP="00F40800">
      <w:pPr>
        <w:pStyle w:val="ListParagraph"/>
        <w:numPr>
          <w:ilvl w:val="2"/>
          <w:numId w:val="2"/>
        </w:numPr>
      </w:pPr>
      <w:r w:rsidRPr="00346B09">
        <w:lastRenderedPageBreak/>
        <w:t>Informing the Production Desk and completion of the RTC report is to be done as soon as it is practicable and in any case before the termination of the driver’s shift</w:t>
      </w:r>
      <w:r w:rsidR="00CE5961">
        <w:t>.</w:t>
      </w:r>
      <w:r w:rsidR="00CE5961">
        <w:br w:type="page"/>
      </w:r>
    </w:p>
    <w:p w14:paraId="1020207A" w14:textId="228E64C8" w:rsidR="009E4A8F" w:rsidRDefault="009E4A8F" w:rsidP="00F40800">
      <w:pPr>
        <w:pStyle w:val="ListParagraph"/>
        <w:numPr>
          <w:ilvl w:val="1"/>
          <w:numId w:val="2"/>
        </w:numPr>
        <w:rPr>
          <w:b/>
          <w:szCs w:val="28"/>
        </w:rPr>
      </w:pPr>
      <w:r w:rsidRPr="00F40800">
        <w:rPr>
          <w:b/>
          <w:szCs w:val="28"/>
        </w:rPr>
        <w:lastRenderedPageBreak/>
        <w:t>Fines and Charges</w:t>
      </w:r>
    </w:p>
    <w:p w14:paraId="4BBD00E2" w14:textId="77777777" w:rsidR="00F40800" w:rsidRPr="00F40800" w:rsidRDefault="00F40800" w:rsidP="00F40800">
      <w:pPr>
        <w:pStyle w:val="ListParagraph"/>
        <w:ind w:left="1162"/>
        <w:rPr>
          <w:b/>
          <w:szCs w:val="28"/>
        </w:rPr>
      </w:pPr>
    </w:p>
    <w:p w14:paraId="3B8AB127" w14:textId="7247D12A" w:rsidR="009E4A8F" w:rsidRDefault="009E4A8F" w:rsidP="00F40800">
      <w:pPr>
        <w:pStyle w:val="ListParagraph"/>
        <w:numPr>
          <w:ilvl w:val="2"/>
          <w:numId w:val="2"/>
        </w:numPr>
      </w:pPr>
      <w:r w:rsidRPr="00F40800">
        <w:rPr>
          <w:b/>
          <w:bCs/>
        </w:rPr>
        <w:t>Speeding Fines</w:t>
      </w:r>
      <w:r w:rsidRPr="002A18FE">
        <w:t>:</w:t>
      </w:r>
      <w:r>
        <w:t xml:space="preserve"> </w:t>
      </w:r>
      <w:r w:rsidRPr="002F2528">
        <w:t xml:space="preserve">All costs associated with speeding fines incurred whilst on duty, </w:t>
      </w:r>
      <w:r w:rsidR="003361C9" w:rsidRPr="002F2528">
        <w:t>in either an employee’s own vehicle or a</w:t>
      </w:r>
      <w:r w:rsidRPr="002F2528">
        <w:t xml:space="preserve"> Trust vehicle, are the responsibility of that employee. Statutory exemption</w:t>
      </w:r>
      <w:r w:rsidR="00CF71D8">
        <w:t>s</w:t>
      </w:r>
      <w:r w:rsidRPr="002F2528">
        <w:t xml:space="preserve"> may apply where relevant.</w:t>
      </w:r>
    </w:p>
    <w:p w14:paraId="48302E32" w14:textId="77777777" w:rsidR="00F40800" w:rsidRPr="002F2528" w:rsidRDefault="00F40800" w:rsidP="00F40800">
      <w:pPr>
        <w:pStyle w:val="ListParagraph"/>
        <w:ind w:left="1162"/>
      </w:pPr>
    </w:p>
    <w:p w14:paraId="52BAEDEC" w14:textId="625B0D42" w:rsidR="009E4A8F" w:rsidRDefault="009E4A8F" w:rsidP="00F40800">
      <w:pPr>
        <w:pStyle w:val="ListParagraph"/>
        <w:numPr>
          <w:ilvl w:val="2"/>
          <w:numId w:val="2"/>
        </w:numPr>
      </w:pPr>
      <w:r w:rsidRPr="00F40800">
        <w:rPr>
          <w:b/>
          <w:bCs/>
        </w:rPr>
        <w:t>Parking Fines</w:t>
      </w:r>
      <w:r w:rsidRPr="002A18FE">
        <w:t>:</w:t>
      </w:r>
      <w:r>
        <w:t xml:space="preserve">  </w:t>
      </w:r>
      <w:r w:rsidRPr="002F2528">
        <w:t xml:space="preserve">All costs associated with parking fines incurred whilst on duty, </w:t>
      </w:r>
      <w:r w:rsidR="003361C9" w:rsidRPr="002F2528">
        <w:t>in either an employee’s own vehicle or a</w:t>
      </w:r>
      <w:r w:rsidRPr="002F2528">
        <w:t xml:space="preserve"> Trust vehicle, are the responsibility of that employee. Statutory exemption</w:t>
      </w:r>
      <w:r w:rsidR="00CF71D8">
        <w:t>s</w:t>
      </w:r>
      <w:r w:rsidRPr="002F2528">
        <w:t xml:space="preserve"> may apply in relevant circumstances.  </w:t>
      </w:r>
    </w:p>
    <w:p w14:paraId="5A1897B5" w14:textId="77777777" w:rsidR="00F40800" w:rsidRPr="002F2528" w:rsidRDefault="00F40800" w:rsidP="00F63CDD"/>
    <w:p w14:paraId="68465EE2" w14:textId="32C11C65" w:rsidR="009E4A8F" w:rsidRDefault="009E4A8F" w:rsidP="00F40800">
      <w:pPr>
        <w:pStyle w:val="ListParagraph"/>
        <w:numPr>
          <w:ilvl w:val="2"/>
          <w:numId w:val="2"/>
        </w:numPr>
      </w:pPr>
      <w:r w:rsidRPr="00F40800">
        <w:rPr>
          <w:b/>
          <w:bCs/>
        </w:rPr>
        <w:t>London Low Emission Zone and Congestion Charging</w:t>
      </w:r>
      <w:r w:rsidRPr="002A18FE">
        <w:t>:</w:t>
      </w:r>
      <w:r w:rsidRPr="002F2528">
        <w:t xml:space="preserve"> </w:t>
      </w:r>
      <w:r>
        <w:t xml:space="preserve"> </w:t>
      </w:r>
      <w:r w:rsidRPr="002F2528">
        <w:t>Marked Trust vehicles such as ambulances and single responder vehicles and major incident vehicles are exempt from London Conges</w:t>
      </w:r>
      <w:r>
        <w:t xml:space="preserve">tion Charges. </w:t>
      </w:r>
      <w:r w:rsidRPr="002F2528">
        <w:t>Drivers of all other vehicles are responsible for paying the congestion charge</w:t>
      </w:r>
      <w:r w:rsidR="0022297D">
        <w:t xml:space="preserve"> (or other charges which come into force now or in the future, such as those relating to highly polluting vehicles)</w:t>
      </w:r>
      <w:r w:rsidRPr="002F2528">
        <w:t>.</w:t>
      </w:r>
    </w:p>
    <w:p w14:paraId="356B2828" w14:textId="77777777" w:rsidR="00F40800" w:rsidRPr="002F2528" w:rsidRDefault="00F40800" w:rsidP="00F40800">
      <w:pPr>
        <w:pStyle w:val="ListParagraph"/>
        <w:ind w:left="1162"/>
      </w:pPr>
    </w:p>
    <w:p w14:paraId="6EB2F05F" w14:textId="0A351729" w:rsidR="009E4A8F" w:rsidRPr="00F40800" w:rsidRDefault="009E4A8F" w:rsidP="00F40800">
      <w:pPr>
        <w:pStyle w:val="ListParagraph"/>
        <w:numPr>
          <w:ilvl w:val="1"/>
          <w:numId w:val="2"/>
        </w:numPr>
        <w:rPr>
          <w:b/>
          <w:szCs w:val="28"/>
        </w:rPr>
      </w:pPr>
      <w:r w:rsidRPr="00F40800">
        <w:rPr>
          <w:b/>
          <w:szCs w:val="28"/>
        </w:rPr>
        <w:t>Environmental Considerations</w:t>
      </w:r>
    </w:p>
    <w:p w14:paraId="31C626DC" w14:textId="77777777" w:rsidR="00F40800" w:rsidRPr="00432A37" w:rsidRDefault="00F40800" w:rsidP="00432A37">
      <w:pPr>
        <w:rPr>
          <w:b/>
          <w:szCs w:val="28"/>
        </w:rPr>
      </w:pPr>
    </w:p>
    <w:p w14:paraId="61BC5868" w14:textId="41DD6B03" w:rsidR="009E4A8F" w:rsidRPr="00F40800" w:rsidRDefault="009E4A8F" w:rsidP="00F40800">
      <w:pPr>
        <w:pStyle w:val="ListParagraph"/>
        <w:numPr>
          <w:ilvl w:val="2"/>
          <w:numId w:val="2"/>
        </w:numPr>
        <w:rPr>
          <w:bCs/>
          <w:szCs w:val="28"/>
        </w:rPr>
      </w:pPr>
      <w:r w:rsidRPr="00F40800">
        <w:rPr>
          <w:bCs/>
          <w:szCs w:val="28"/>
        </w:rPr>
        <w:t>The Trust</w:t>
      </w:r>
      <w:r w:rsidRPr="008F239D">
        <w:t xml:space="preserve"> </w:t>
      </w:r>
      <w:r w:rsidRPr="00F40800">
        <w:rPr>
          <w:bCs/>
          <w:szCs w:val="28"/>
        </w:rPr>
        <w:t>is conscious of the impact and responsibility it has as an organisation on the environment and that under emergency conditions or where response time is critical, it is unable to reduce the carbon footprint. Outside of these parameters anyone driving a Trust vehicle should, where it is appropriate, reduce the impact on climate change by avoiding hard acceleration or hard</w:t>
      </w:r>
      <w:r w:rsidR="00B24BBE" w:rsidRPr="00F40800">
        <w:rPr>
          <w:bCs/>
          <w:szCs w:val="28"/>
        </w:rPr>
        <w:t xml:space="preserve"> and </w:t>
      </w:r>
      <w:r w:rsidRPr="00F40800">
        <w:rPr>
          <w:bCs/>
          <w:szCs w:val="28"/>
        </w:rPr>
        <w:t>excessive braking. This will be monitored on vehicles fitted with data recording technology.</w:t>
      </w:r>
    </w:p>
    <w:p w14:paraId="4B591380" w14:textId="100271F8" w:rsidR="009E4A8F" w:rsidRPr="000954BE" w:rsidRDefault="009E4A8F" w:rsidP="000954BE">
      <w:pPr>
        <w:pStyle w:val="Heading1"/>
        <w:numPr>
          <w:ilvl w:val="0"/>
          <w:numId w:val="11"/>
        </w:numPr>
        <w:rPr>
          <w:b/>
          <w:bCs w:val="0"/>
          <w:sz w:val="28"/>
          <w:szCs w:val="28"/>
        </w:rPr>
      </w:pPr>
      <w:bookmarkStart w:id="56" w:name="_Toc135836947"/>
      <w:bookmarkStart w:id="57" w:name="_Toc135837092"/>
      <w:bookmarkStart w:id="58" w:name="_Toc135901069"/>
      <w:r w:rsidRPr="000954BE">
        <w:rPr>
          <w:b/>
          <w:bCs w:val="0"/>
          <w:sz w:val="28"/>
          <w:szCs w:val="28"/>
        </w:rPr>
        <w:t>Definitions</w:t>
      </w:r>
      <w:bookmarkEnd w:id="56"/>
      <w:bookmarkEnd w:id="57"/>
      <w:bookmarkEnd w:id="58"/>
    </w:p>
    <w:p w14:paraId="5582A78A" w14:textId="77DA5AAB" w:rsidR="009E4A8F" w:rsidRDefault="009E4A8F" w:rsidP="00F40800">
      <w:pPr>
        <w:pStyle w:val="ListParagraph"/>
        <w:numPr>
          <w:ilvl w:val="1"/>
          <w:numId w:val="11"/>
        </w:numPr>
      </w:pPr>
      <w:r w:rsidRPr="00F40800">
        <w:rPr>
          <w:b/>
        </w:rPr>
        <w:t>Trust</w:t>
      </w:r>
      <w:r w:rsidRPr="007D0913">
        <w:t xml:space="preserve"> vehicles are vehicles owned, leased or lent to the Trust.</w:t>
      </w:r>
    </w:p>
    <w:p w14:paraId="0ED53C4C" w14:textId="77777777" w:rsidR="00F40800" w:rsidRPr="007D0913" w:rsidRDefault="00F40800" w:rsidP="00F40800">
      <w:pPr>
        <w:pStyle w:val="ListParagraph"/>
        <w:ind w:left="1162"/>
      </w:pPr>
    </w:p>
    <w:p w14:paraId="106236A6" w14:textId="0D94AD62" w:rsidR="009E4A8F" w:rsidRDefault="009E4A8F" w:rsidP="00F40800">
      <w:pPr>
        <w:pStyle w:val="ListParagraph"/>
        <w:numPr>
          <w:ilvl w:val="1"/>
          <w:numId w:val="11"/>
        </w:numPr>
      </w:pPr>
      <w:r w:rsidRPr="00F40800">
        <w:rPr>
          <w:b/>
        </w:rPr>
        <w:t>Driving</w:t>
      </w:r>
      <w:r w:rsidRPr="007D0913">
        <w:t xml:space="preserve"> – Having control over the functions of the vehicle, e.g. steering, brakes etc. To cause and guide the movement of a vehicle.</w:t>
      </w:r>
    </w:p>
    <w:p w14:paraId="1BCC4D9D" w14:textId="77777777" w:rsidR="00F40800" w:rsidRPr="007D0913" w:rsidRDefault="00F40800" w:rsidP="00F40800"/>
    <w:p w14:paraId="22D725CB" w14:textId="07A77AB7" w:rsidR="009E4A8F" w:rsidRDefault="009E4A8F" w:rsidP="00F40800">
      <w:pPr>
        <w:pStyle w:val="ListParagraph"/>
        <w:numPr>
          <w:ilvl w:val="1"/>
          <w:numId w:val="11"/>
        </w:numPr>
        <w:rPr>
          <w:bCs/>
        </w:rPr>
      </w:pPr>
      <w:bookmarkStart w:id="59" w:name="_Toc483575735"/>
      <w:bookmarkStart w:id="60" w:name="_Toc485909081"/>
      <w:bookmarkStart w:id="61" w:name="_Toc493146279"/>
      <w:bookmarkStart w:id="62" w:name="_Toc493147799"/>
      <w:bookmarkStart w:id="63" w:name="_Toc493669215"/>
      <w:bookmarkStart w:id="64" w:name="_Toc135836948"/>
      <w:bookmarkStart w:id="65" w:name="_Toc135837093"/>
      <w:r w:rsidRPr="00F40800">
        <w:rPr>
          <w:b/>
        </w:rPr>
        <w:t>Driver</w:t>
      </w:r>
      <w:r w:rsidRPr="007D0913">
        <w:t xml:space="preserve"> - Refers to any person who may be required to drive a Trust vehicle or their own vehicle as an agent for the Trust</w:t>
      </w:r>
      <w:r>
        <w:t>.</w:t>
      </w:r>
      <w:r w:rsidRPr="007D0913">
        <w:t xml:space="preserve"> </w:t>
      </w:r>
      <w:r w:rsidR="00B07853">
        <w:t xml:space="preserve">Including </w:t>
      </w:r>
      <w:r w:rsidRPr="007D0913">
        <w:t xml:space="preserve">Community First responder, Make Ready </w:t>
      </w:r>
      <w:r>
        <w:t>O</w:t>
      </w:r>
      <w:r w:rsidRPr="007D0913">
        <w:t>perative and Contractors.</w:t>
      </w:r>
      <w:bookmarkEnd w:id="59"/>
      <w:bookmarkEnd w:id="60"/>
      <w:bookmarkEnd w:id="61"/>
      <w:bookmarkEnd w:id="62"/>
      <w:bookmarkEnd w:id="63"/>
      <w:bookmarkEnd w:id="64"/>
      <w:bookmarkEnd w:id="65"/>
      <w:r w:rsidRPr="00F40800">
        <w:rPr>
          <w:bCs/>
        </w:rPr>
        <w:t xml:space="preserve"> </w:t>
      </w:r>
    </w:p>
    <w:p w14:paraId="3F1B7AF3" w14:textId="77777777" w:rsidR="00F40800" w:rsidRPr="00F40800" w:rsidRDefault="00F40800" w:rsidP="00F40800">
      <w:pPr>
        <w:rPr>
          <w:bCs/>
        </w:rPr>
      </w:pPr>
    </w:p>
    <w:p w14:paraId="32D1AC05" w14:textId="749A2394" w:rsidR="009E4A8F" w:rsidRDefault="009E4A8F" w:rsidP="00F40800">
      <w:pPr>
        <w:pStyle w:val="ListParagraph"/>
        <w:numPr>
          <w:ilvl w:val="2"/>
          <w:numId w:val="11"/>
        </w:numPr>
        <w:rPr>
          <w:bCs/>
        </w:rPr>
      </w:pPr>
      <w:bookmarkStart w:id="66" w:name="_Toc483575736"/>
      <w:bookmarkStart w:id="67" w:name="_Toc485909082"/>
      <w:bookmarkStart w:id="68" w:name="_Toc493146280"/>
      <w:bookmarkStart w:id="69" w:name="_Toc493147800"/>
      <w:bookmarkStart w:id="70" w:name="_Toc493669216"/>
      <w:bookmarkStart w:id="71" w:name="_Toc135836949"/>
      <w:bookmarkStart w:id="72" w:name="_Toc135837094"/>
      <w:r w:rsidRPr="00F40800">
        <w:rPr>
          <w:bCs/>
        </w:rPr>
        <w:t>All authorised persons who drive on Trust business are responsible for complying with current Road Traffic Law.</w:t>
      </w:r>
      <w:bookmarkEnd w:id="66"/>
      <w:bookmarkEnd w:id="67"/>
      <w:bookmarkEnd w:id="68"/>
      <w:bookmarkEnd w:id="69"/>
      <w:bookmarkEnd w:id="70"/>
      <w:bookmarkEnd w:id="71"/>
      <w:bookmarkEnd w:id="72"/>
    </w:p>
    <w:p w14:paraId="5853E438" w14:textId="77777777" w:rsidR="00F40800" w:rsidRPr="00F40800" w:rsidRDefault="00F40800" w:rsidP="00F40800">
      <w:pPr>
        <w:pStyle w:val="ListParagraph"/>
        <w:ind w:left="1162"/>
        <w:rPr>
          <w:bCs/>
        </w:rPr>
      </w:pPr>
    </w:p>
    <w:p w14:paraId="30C11C66" w14:textId="30435B4F" w:rsidR="009E4A8F" w:rsidRDefault="009E4A8F" w:rsidP="00F40800">
      <w:pPr>
        <w:pStyle w:val="ListParagraph"/>
        <w:numPr>
          <w:ilvl w:val="2"/>
          <w:numId w:val="11"/>
        </w:numPr>
        <w:rPr>
          <w:bCs/>
        </w:rPr>
      </w:pPr>
      <w:bookmarkStart w:id="73" w:name="_Toc483575737"/>
      <w:bookmarkStart w:id="74" w:name="_Toc485909083"/>
      <w:bookmarkStart w:id="75" w:name="_Toc493146281"/>
      <w:bookmarkStart w:id="76" w:name="_Toc493147801"/>
      <w:bookmarkStart w:id="77" w:name="_Toc493669217"/>
      <w:bookmarkStart w:id="78" w:name="_Toc135836950"/>
      <w:bookmarkStart w:id="79" w:name="_Toc135837095"/>
      <w:r w:rsidRPr="00F40800">
        <w:rPr>
          <w:bCs/>
        </w:rPr>
        <w:t>All stakeholders are responsible for overseeing compliance with this policy.</w:t>
      </w:r>
      <w:bookmarkEnd w:id="73"/>
      <w:bookmarkEnd w:id="74"/>
      <w:bookmarkEnd w:id="75"/>
      <w:bookmarkEnd w:id="76"/>
      <w:bookmarkEnd w:id="77"/>
      <w:bookmarkEnd w:id="78"/>
      <w:bookmarkEnd w:id="79"/>
    </w:p>
    <w:p w14:paraId="2312A5FD" w14:textId="77777777" w:rsidR="00F40800" w:rsidRPr="008F2ABD" w:rsidRDefault="00F40800" w:rsidP="008F2ABD">
      <w:pPr>
        <w:rPr>
          <w:bCs/>
        </w:rPr>
      </w:pPr>
    </w:p>
    <w:p w14:paraId="7B6B540F" w14:textId="3556FDD6" w:rsidR="009E4A8F" w:rsidRDefault="009E4A8F" w:rsidP="00F40800">
      <w:pPr>
        <w:pStyle w:val="ListParagraph"/>
        <w:numPr>
          <w:ilvl w:val="2"/>
          <w:numId w:val="11"/>
        </w:numPr>
        <w:rPr>
          <w:bCs/>
        </w:rPr>
      </w:pPr>
      <w:bookmarkStart w:id="80" w:name="_Toc483575738"/>
      <w:bookmarkStart w:id="81" w:name="_Toc485909084"/>
      <w:bookmarkStart w:id="82" w:name="_Toc493146282"/>
      <w:bookmarkStart w:id="83" w:name="_Toc493147802"/>
      <w:bookmarkStart w:id="84" w:name="_Toc493669218"/>
      <w:bookmarkStart w:id="85" w:name="_Toc135836951"/>
      <w:bookmarkStart w:id="86" w:name="_Toc135837096"/>
      <w:r w:rsidRPr="00F40800">
        <w:rPr>
          <w:bCs/>
        </w:rPr>
        <w:t>All members of staff are expected to challenge unacceptable driving behaviour and/or unprofessional conduct that may bring the Trust into disrepute.</w:t>
      </w:r>
      <w:bookmarkEnd w:id="80"/>
      <w:bookmarkEnd w:id="81"/>
      <w:bookmarkEnd w:id="82"/>
      <w:bookmarkEnd w:id="83"/>
      <w:bookmarkEnd w:id="84"/>
      <w:bookmarkEnd w:id="85"/>
      <w:bookmarkEnd w:id="86"/>
    </w:p>
    <w:p w14:paraId="6554D747" w14:textId="77777777" w:rsidR="00F40800" w:rsidRPr="00F40800" w:rsidRDefault="00F40800" w:rsidP="00F40800">
      <w:pPr>
        <w:pStyle w:val="ListParagraph"/>
        <w:ind w:left="1162"/>
        <w:rPr>
          <w:bCs/>
        </w:rPr>
      </w:pPr>
    </w:p>
    <w:p w14:paraId="5F84CFF0" w14:textId="734CF2C9" w:rsidR="009E4A8F" w:rsidRDefault="009E4A8F" w:rsidP="00F40800">
      <w:pPr>
        <w:pStyle w:val="ListParagraph"/>
        <w:numPr>
          <w:ilvl w:val="2"/>
          <w:numId w:val="11"/>
        </w:numPr>
        <w:rPr>
          <w:bCs/>
        </w:rPr>
      </w:pPr>
      <w:bookmarkStart w:id="87" w:name="_Toc483575739"/>
      <w:bookmarkStart w:id="88" w:name="_Toc485909085"/>
      <w:bookmarkStart w:id="89" w:name="_Toc493146283"/>
      <w:bookmarkStart w:id="90" w:name="_Toc493147803"/>
      <w:bookmarkStart w:id="91" w:name="_Toc493669219"/>
      <w:bookmarkStart w:id="92" w:name="_Toc135836952"/>
      <w:bookmarkStart w:id="93" w:name="_Toc135837097"/>
      <w:r w:rsidRPr="00F40800">
        <w:rPr>
          <w:bCs/>
        </w:rPr>
        <w:lastRenderedPageBreak/>
        <w:t>All staff must be aware that it is an offence to cause or permit a person to use a vehicle that is not legally roadworthy.</w:t>
      </w:r>
      <w:bookmarkEnd w:id="87"/>
      <w:bookmarkEnd w:id="88"/>
      <w:bookmarkEnd w:id="89"/>
      <w:bookmarkEnd w:id="90"/>
      <w:bookmarkEnd w:id="91"/>
      <w:bookmarkEnd w:id="92"/>
      <w:bookmarkEnd w:id="93"/>
    </w:p>
    <w:p w14:paraId="6A0B0BD8" w14:textId="77777777" w:rsidR="00F40800" w:rsidRPr="008F2ABD" w:rsidRDefault="00F40800" w:rsidP="008F2ABD">
      <w:pPr>
        <w:rPr>
          <w:bCs/>
        </w:rPr>
      </w:pPr>
    </w:p>
    <w:p w14:paraId="052A1A36" w14:textId="2E7F94C5" w:rsidR="009E4A8F" w:rsidRDefault="009E4A8F" w:rsidP="00F40800">
      <w:pPr>
        <w:pStyle w:val="ListParagraph"/>
        <w:numPr>
          <w:ilvl w:val="2"/>
          <w:numId w:val="11"/>
        </w:numPr>
      </w:pPr>
      <w:r w:rsidRPr="00F40800">
        <w:rPr>
          <w:b/>
        </w:rPr>
        <w:t>Private vehicles</w:t>
      </w:r>
      <w:r w:rsidRPr="009160D2">
        <w:t xml:space="preserve"> are vehicles owned by employees or volunteers to carry out Trust business</w:t>
      </w:r>
      <w:r>
        <w:t>,</w:t>
      </w:r>
      <w:r w:rsidRPr="009160D2">
        <w:t xml:space="preserve"> e.g. Employees using their own cars to drive to meetings during work time (not commuting to and from work)</w:t>
      </w:r>
      <w:r>
        <w:t xml:space="preserve"> and Community First Responders</w:t>
      </w:r>
    </w:p>
    <w:p w14:paraId="6F7B23C7" w14:textId="77777777" w:rsidR="00F40800" w:rsidRPr="009160D2" w:rsidRDefault="00F40800" w:rsidP="00F40800">
      <w:pPr>
        <w:pStyle w:val="ListParagraph"/>
        <w:ind w:left="1162"/>
      </w:pPr>
    </w:p>
    <w:p w14:paraId="3B3C2BEF" w14:textId="09EAEDCB" w:rsidR="009E4A8F" w:rsidRDefault="009E4A8F" w:rsidP="00F40800">
      <w:pPr>
        <w:pStyle w:val="ListParagraph"/>
        <w:numPr>
          <w:ilvl w:val="2"/>
          <w:numId w:val="11"/>
        </w:numPr>
      </w:pPr>
      <w:r w:rsidRPr="00F40800">
        <w:rPr>
          <w:b/>
        </w:rPr>
        <w:t>IWR-1 form</w:t>
      </w:r>
      <w:r w:rsidRPr="009160D2">
        <w:t xml:space="preserve"> – </w:t>
      </w:r>
      <w:r>
        <w:t>T</w:t>
      </w:r>
      <w:r w:rsidRPr="009160D2">
        <w:t>he incident reporting</w:t>
      </w:r>
      <w:r>
        <w:t xml:space="preserve"> online</w:t>
      </w:r>
      <w:r w:rsidRPr="009160D2">
        <w:t xml:space="preserve"> form used by the Trust as part of its incident reporting and investigation system</w:t>
      </w:r>
      <w:r>
        <w:t xml:space="preserve"> (DATIX)</w:t>
      </w:r>
    </w:p>
    <w:p w14:paraId="14B13561" w14:textId="77777777" w:rsidR="00F40800" w:rsidRDefault="00F40800" w:rsidP="00F40800"/>
    <w:p w14:paraId="0E6E5102" w14:textId="77777777" w:rsidR="009E4A8F" w:rsidRPr="00C6645F" w:rsidRDefault="009E4A8F" w:rsidP="00F40800">
      <w:pPr>
        <w:pStyle w:val="ListParagraph"/>
        <w:numPr>
          <w:ilvl w:val="2"/>
          <w:numId w:val="11"/>
        </w:numPr>
      </w:pPr>
      <w:r w:rsidRPr="00F40800">
        <w:rPr>
          <w:b/>
        </w:rPr>
        <w:t xml:space="preserve">RTC Report form </w:t>
      </w:r>
      <w:r>
        <w:t xml:space="preserve">– </w:t>
      </w:r>
      <w:r w:rsidRPr="000D09FE">
        <w:t>The</w:t>
      </w:r>
      <w:r w:rsidRPr="00F40800">
        <w:rPr>
          <w:b/>
        </w:rPr>
        <w:t xml:space="preserve"> </w:t>
      </w:r>
      <w:r w:rsidRPr="000D09FE">
        <w:t xml:space="preserve">incident reporting form used by the Trust </w:t>
      </w:r>
      <w:r>
        <w:t>to record and report vehicle related incidents to its insurers.</w:t>
      </w:r>
    </w:p>
    <w:p w14:paraId="4993FCD6" w14:textId="7568AA45" w:rsidR="00C15C42" w:rsidRPr="000954BE" w:rsidRDefault="00C15C42" w:rsidP="000954BE">
      <w:pPr>
        <w:pStyle w:val="Heading1"/>
        <w:numPr>
          <w:ilvl w:val="0"/>
          <w:numId w:val="2"/>
        </w:numPr>
        <w:rPr>
          <w:b/>
          <w:bCs w:val="0"/>
          <w:sz w:val="28"/>
          <w:szCs w:val="28"/>
        </w:rPr>
      </w:pPr>
      <w:bookmarkStart w:id="94" w:name="_Toc135836953"/>
      <w:bookmarkStart w:id="95" w:name="_Toc135837098"/>
      <w:bookmarkStart w:id="96" w:name="_Toc135901070"/>
      <w:r w:rsidRPr="000954BE">
        <w:rPr>
          <w:b/>
          <w:bCs w:val="0"/>
          <w:sz w:val="28"/>
          <w:szCs w:val="28"/>
        </w:rPr>
        <w:t>Responsibilities</w:t>
      </w:r>
      <w:bookmarkEnd w:id="94"/>
      <w:bookmarkEnd w:id="95"/>
      <w:bookmarkEnd w:id="96"/>
    </w:p>
    <w:p w14:paraId="2735743E" w14:textId="77777777" w:rsidR="009E4A8F" w:rsidRPr="002C55A9" w:rsidRDefault="009E4A8F" w:rsidP="009E4A8F">
      <w:pPr>
        <w:numPr>
          <w:ilvl w:val="1"/>
          <w:numId w:val="16"/>
        </w:numPr>
        <w:spacing w:after="240"/>
        <w:rPr>
          <w:rFonts w:cs="Arial"/>
        </w:rPr>
      </w:pPr>
      <w:r w:rsidRPr="00521E6C">
        <w:rPr>
          <w:rFonts w:cs="Arial"/>
        </w:rPr>
        <w:t xml:space="preserve">The </w:t>
      </w:r>
      <w:r w:rsidRPr="00521E6C">
        <w:rPr>
          <w:rFonts w:cs="Arial"/>
          <w:b/>
        </w:rPr>
        <w:t>Chief Executive Officer</w:t>
      </w:r>
      <w:r w:rsidRPr="00521E6C">
        <w:rPr>
          <w:rFonts w:cs="Arial"/>
        </w:rPr>
        <w:t xml:space="preserve"> is </w:t>
      </w:r>
      <w:r w:rsidRPr="005E46BC">
        <w:t>accountable for all dri</w:t>
      </w:r>
      <w:r>
        <w:t>ving undertaken within the Trust.</w:t>
      </w:r>
    </w:p>
    <w:p w14:paraId="48B931E2" w14:textId="77777777" w:rsidR="009E4A8F" w:rsidRDefault="009E4A8F" w:rsidP="009E4A8F">
      <w:pPr>
        <w:pStyle w:val="ListParagraph"/>
        <w:numPr>
          <w:ilvl w:val="1"/>
          <w:numId w:val="16"/>
        </w:numPr>
        <w:rPr>
          <w:szCs w:val="20"/>
          <w:lang w:eastAsia="en-US"/>
        </w:rPr>
      </w:pPr>
      <w:r w:rsidRPr="002C55A9">
        <w:rPr>
          <w:szCs w:val="20"/>
          <w:lang w:eastAsia="en-US"/>
        </w:rPr>
        <w:t xml:space="preserve">Each </w:t>
      </w:r>
      <w:r w:rsidRPr="00303F79">
        <w:rPr>
          <w:b/>
          <w:szCs w:val="20"/>
          <w:lang w:eastAsia="en-US"/>
        </w:rPr>
        <w:t>Executive</w:t>
      </w:r>
      <w:r>
        <w:rPr>
          <w:szCs w:val="20"/>
          <w:lang w:eastAsia="en-US"/>
        </w:rPr>
        <w:t xml:space="preserve"> </w:t>
      </w:r>
      <w:r w:rsidRPr="002C55A9">
        <w:rPr>
          <w:b/>
          <w:szCs w:val="20"/>
          <w:lang w:eastAsia="en-US"/>
        </w:rPr>
        <w:t>Director</w:t>
      </w:r>
      <w:r w:rsidRPr="002C55A9">
        <w:rPr>
          <w:szCs w:val="20"/>
          <w:lang w:eastAsia="en-US"/>
        </w:rPr>
        <w:t xml:space="preserve"> has responsibility for the implementation of </w:t>
      </w:r>
      <w:r>
        <w:rPr>
          <w:szCs w:val="20"/>
          <w:lang w:eastAsia="en-US"/>
        </w:rPr>
        <w:t xml:space="preserve">this </w:t>
      </w:r>
      <w:r w:rsidRPr="002C55A9">
        <w:rPr>
          <w:szCs w:val="20"/>
          <w:lang w:eastAsia="en-US"/>
        </w:rPr>
        <w:t>p</w:t>
      </w:r>
      <w:r>
        <w:rPr>
          <w:szCs w:val="20"/>
          <w:lang w:eastAsia="en-US"/>
        </w:rPr>
        <w:t xml:space="preserve">rocedure, the overarching Policy and its associated </w:t>
      </w:r>
      <w:r w:rsidRPr="002C55A9">
        <w:rPr>
          <w:szCs w:val="20"/>
          <w:lang w:eastAsia="en-US"/>
        </w:rPr>
        <w:t>procedures</w:t>
      </w:r>
      <w:r>
        <w:rPr>
          <w:szCs w:val="20"/>
          <w:lang w:eastAsia="en-US"/>
        </w:rPr>
        <w:t xml:space="preserve"> in regards </w:t>
      </w:r>
      <w:r w:rsidRPr="002C55A9">
        <w:rPr>
          <w:szCs w:val="20"/>
          <w:lang w:eastAsia="en-US"/>
        </w:rPr>
        <w:t>to the driving of Trust vehicles under their control.</w:t>
      </w:r>
    </w:p>
    <w:p w14:paraId="03BB9042" w14:textId="77777777" w:rsidR="009E4A8F" w:rsidRDefault="009E4A8F" w:rsidP="009E4A8F"/>
    <w:p w14:paraId="4D99EFB2" w14:textId="77777777" w:rsidR="009E4A8F" w:rsidRPr="00061452" w:rsidRDefault="009E4A8F" w:rsidP="009E4A8F">
      <w:pPr>
        <w:numPr>
          <w:ilvl w:val="1"/>
          <w:numId w:val="16"/>
        </w:numPr>
        <w:spacing w:after="240"/>
        <w:rPr>
          <w:rFonts w:cs="Arial"/>
        </w:rPr>
      </w:pPr>
      <w:r w:rsidRPr="000029EB">
        <w:rPr>
          <w:b/>
        </w:rPr>
        <w:t xml:space="preserve">The </w:t>
      </w:r>
      <w:r>
        <w:rPr>
          <w:b/>
        </w:rPr>
        <w:t xml:space="preserve">Executive Director of Operations, </w:t>
      </w:r>
      <w:r>
        <w:t>through a delegated manager</w:t>
      </w:r>
      <w:r w:rsidRPr="005E46BC">
        <w:t xml:space="preserve"> is responsible for receiving and collating RTC </w:t>
      </w:r>
      <w:r>
        <w:t>data</w:t>
      </w:r>
      <w:r w:rsidRPr="005E46BC">
        <w:t xml:space="preserve"> to monitor trends, and report these</w:t>
      </w:r>
      <w:r>
        <w:t xml:space="preserve"> to </w:t>
      </w:r>
      <w:r w:rsidRPr="005E46BC">
        <w:t>t</w:t>
      </w:r>
      <w:r>
        <w:t>he relevant committee.</w:t>
      </w:r>
    </w:p>
    <w:p w14:paraId="258D5097" w14:textId="77777777" w:rsidR="009E4A8F" w:rsidRDefault="009E4A8F" w:rsidP="009E4A8F">
      <w:pPr>
        <w:numPr>
          <w:ilvl w:val="1"/>
          <w:numId w:val="16"/>
        </w:numPr>
        <w:spacing w:after="240"/>
        <w:rPr>
          <w:rFonts w:cs="Arial"/>
        </w:rPr>
      </w:pPr>
      <w:r w:rsidRPr="00061452">
        <w:rPr>
          <w:rFonts w:cs="Arial"/>
          <w:b/>
        </w:rPr>
        <w:t>The Company Secretary</w:t>
      </w:r>
      <w:r>
        <w:rPr>
          <w:rFonts w:cs="Arial"/>
        </w:rPr>
        <w:t xml:space="preserve"> is responsible for the dissemination and review of this policy through the process outlined in the Policy on Policies.</w:t>
      </w:r>
    </w:p>
    <w:p w14:paraId="39596AED" w14:textId="5C5DDC71" w:rsidR="009E4A8F" w:rsidRPr="002C55A9" w:rsidRDefault="009E4A8F" w:rsidP="009E4A8F">
      <w:pPr>
        <w:numPr>
          <w:ilvl w:val="1"/>
          <w:numId w:val="16"/>
        </w:numPr>
        <w:spacing w:after="240"/>
        <w:rPr>
          <w:rFonts w:cs="Arial"/>
        </w:rPr>
      </w:pPr>
      <w:r w:rsidRPr="00D73633">
        <w:rPr>
          <w:rFonts w:cs="Arial"/>
          <w:b/>
        </w:rPr>
        <w:t xml:space="preserve">Managers </w:t>
      </w:r>
      <w:r>
        <w:t>are responsible for</w:t>
      </w:r>
      <w:r w:rsidRPr="00801AE9">
        <w:t xml:space="preserve"> ensur</w:t>
      </w:r>
      <w:r>
        <w:t>ing</w:t>
      </w:r>
      <w:r w:rsidRPr="00801AE9">
        <w:t xml:space="preserve"> investigations into incidents are carried out in accordance with</w:t>
      </w:r>
      <w:r>
        <w:t xml:space="preserve"> </w:t>
      </w:r>
      <w:r w:rsidR="003211F2">
        <w:t>section 4.15</w:t>
      </w:r>
      <w:r w:rsidRPr="00801AE9">
        <w:t>.</w:t>
      </w:r>
    </w:p>
    <w:p w14:paraId="3667D72C" w14:textId="77777777" w:rsidR="009E4A8F" w:rsidRPr="0083667C" w:rsidRDefault="009E4A8F" w:rsidP="009E4A8F">
      <w:pPr>
        <w:numPr>
          <w:ilvl w:val="2"/>
          <w:numId w:val="16"/>
        </w:numPr>
        <w:spacing w:after="240"/>
        <w:rPr>
          <w:rFonts w:cs="Arial"/>
        </w:rPr>
      </w:pPr>
      <w:r w:rsidRPr="0083667C">
        <w:rPr>
          <w:rFonts w:cs="Arial"/>
        </w:rPr>
        <w:t>Ensuring that any vehicle collisions are investigated and acted upon to prevent recurrence</w:t>
      </w:r>
      <w:r>
        <w:rPr>
          <w:rFonts w:cs="Arial"/>
        </w:rPr>
        <w:t>.</w:t>
      </w:r>
      <w:r w:rsidRPr="0083667C">
        <w:rPr>
          <w:rFonts w:cs="Arial"/>
        </w:rPr>
        <w:t xml:space="preserve"> </w:t>
      </w:r>
    </w:p>
    <w:p w14:paraId="48B67AFE" w14:textId="77777777" w:rsidR="009E4A8F" w:rsidRPr="0083667C" w:rsidRDefault="009E4A8F" w:rsidP="009E4A8F">
      <w:pPr>
        <w:numPr>
          <w:ilvl w:val="2"/>
          <w:numId w:val="16"/>
        </w:numPr>
        <w:spacing w:after="240"/>
        <w:rPr>
          <w:rFonts w:cs="Arial"/>
        </w:rPr>
      </w:pPr>
      <w:r w:rsidRPr="0083667C">
        <w:rPr>
          <w:rFonts w:cs="Arial"/>
        </w:rPr>
        <w:t>Ensuring that if a staff member informs them of any health condition which may affect their ability to drive safely that they are referred to Occupational Health for advice.</w:t>
      </w:r>
    </w:p>
    <w:p w14:paraId="1B992B1B" w14:textId="77777777" w:rsidR="009E4A8F" w:rsidRDefault="009E4A8F" w:rsidP="009E4A8F">
      <w:pPr>
        <w:numPr>
          <w:ilvl w:val="2"/>
          <w:numId w:val="16"/>
        </w:numPr>
        <w:spacing w:after="240"/>
        <w:rPr>
          <w:rFonts w:cs="Arial"/>
        </w:rPr>
      </w:pPr>
      <w:r w:rsidRPr="0083667C">
        <w:rPr>
          <w:rFonts w:cs="Arial"/>
        </w:rPr>
        <w:t xml:space="preserve">To check driving licences at least once a year in accordance with the current Trust guidelines. </w:t>
      </w:r>
    </w:p>
    <w:p w14:paraId="5E177390" w14:textId="77777777" w:rsidR="009E4A8F" w:rsidRDefault="009E4A8F" w:rsidP="009E4A8F">
      <w:pPr>
        <w:numPr>
          <w:ilvl w:val="1"/>
          <w:numId w:val="16"/>
        </w:numPr>
        <w:spacing w:after="240"/>
        <w:rPr>
          <w:rFonts w:cs="Arial"/>
        </w:rPr>
      </w:pPr>
      <w:r>
        <w:rPr>
          <w:rFonts w:cs="Arial"/>
          <w:b/>
          <w:lang w:eastAsia="en-GB"/>
        </w:rPr>
        <w:t xml:space="preserve">The Head of Fleet and Logistics </w:t>
      </w:r>
      <w:r w:rsidRPr="00723299">
        <w:rPr>
          <w:rFonts w:cs="Arial"/>
          <w:lang w:eastAsia="en-GB"/>
        </w:rPr>
        <w:t>will be responsible for</w:t>
      </w:r>
      <w:r>
        <w:rPr>
          <w:rFonts w:cs="Arial"/>
          <w:lang w:eastAsia="en-GB"/>
        </w:rPr>
        <w:t xml:space="preserve"> the provision of vehicles that are compliant with Trust needs and current legislation.</w:t>
      </w:r>
    </w:p>
    <w:p w14:paraId="44B94376" w14:textId="77777777" w:rsidR="009E4A8F" w:rsidRPr="00801AE9" w:rsidRDefault="009E4A8F" w:rsidP="009E4A8F">
      <w:pPr>
        <w:numPr>
          <w:ilvl w:val="1"/>
          <w:numId w:val="16"/>
        </w:numPr>
        <w:spacing w:after="240"/>
        <w:rPr>
          <w:rFonts w:cs="Arial"/>
        </w:rPr>
      </w:pPr>
      <w:r>
        <w:rPr>
          <w:b/>
        </w:rPr>
        <w:t xml:space="preserve">Professional Standards </w:t>
      </w:r>
      <w:r>
        <w:t>will</w:t>
      </w:r>
      <w:r w:rsidRPr="0052750F">
        <w:t xml:space="preserve"> be responsible for providing investigative support where a vehicle</w:t>
      </w:r>
      <w:r>
        <w:t xml:space="preserve"> on Trust business </w:t>
      </w:r>
      <w:r w:rsidRPr="0052750F">
        <w:t>has been involved in a</w:t>
      </w:r>
      <w:r>
        <w:t>n incident which results in the declaration of a Serious Incident (SI) The Police retain responsibility for the primary investigation into collisions leading to death or serious injury.</w:t>
      </w:r>
    </w:p>
    <w:p w14:paraId="125DF224" w14:textId="77777777" w:rsidR="009E4A8F" w:rsidRPr="0083667C" w:rsidRDefault="009E4A8F" w:rsidP="009E4A8F">
      <w:pPr>
        <w:numPr>
          <w:ilvl w:val="1"/>
          <w:numId w:val="16"/>
        </w:numPr>
        <w:spacing w:after="240"/>
        <w:rPr>
          <w:rFonts w:cs="Arial"/>
          <w:b/>
        </w:rPr>
      </w:pPr>
      <w:r w:rsidRPr="0083667C">
        <w:rPr>
          <w:rFonts w:cs="Arial"/>
          <w:b/>
        </w:rPr>
        <w:lastRenderedPageBreak/>
        <w:t>The Driver Training Manager is responsible for:</w:t>
      </w:r>
    </w:p>
    <w:p w14:paraId="391F149D" w14:textId="77777777" w:rsidR="009E4A8F" w:rsidRPr="0083667C" w:rsidRDefault="009E4A8F" w:rsidP="009E4A8F">
      <w:pPr>
        <w:numPr>
          <w:ilvl w:val="2"/>
          <w:numId w:val="16"/>
        </w:numPr>
        <w:spacing w:after="240"/>
        <w:rPr>
          <w:rFonts w:cs="Arial"/>
        </w:rPr>
      </w:pPr>
      <w:r w:rsidRPr="0083667C">
        <w:rPr>
          <w:rFonts w:cs="Arial"/>
        </w:rPr>
        <w:t>Training operational staff to ensure that they are aware of their legal responsibilities and are safe and competent to drive</w:t>
      </w:r>
      <w:r>
        <w:rPr>
          <w:rFonts w:cs="Arial"/>
        </w:rPr>
        <w:t xml:space="preserve">. </w:t>
      </w:r>
    </w:p>
    <w:p w14:paraId="78669416" w14:textId="77777777" w:rsidR="009E4A8F" w:rsidRDefault="009E4A8F" w:rsidP="009E4A8F">
      <w:pPr>
        <w:numPr>
          <w:ilvl w:val="2"/>
          <w:numId w:val="16"/>
        </w:numPr>
        <w:spacing w:after="240"/>
        <w:rPr>
          <w:rFonts w:cs="Arial"/>
        </w:rPr>
      </w:pPr>
      <w:r>
        <w:rPr>
          <w:rFonts w:cs="Arial"/>
        </w:rPr>
        <w:t xml:space="preserve">Carrying out driving assessments as and when required. </w:t>
      </w:r>
    </w:p>
    <w:p w14:paraId="124C1405" w14:textId="77777777" w:rsidR="009E4A8F" w:rsidRPr="005876A7" w:rsidRDefault="009E4A8F" w:rsidP="009E4A8F">
      <w:pPr>
        <w:numPr>
          <w:ilvl w:val="1"/>
          <w:numId w:val="16"/>
        </w:numPr>
        <w:spacing w:after="240"/>
        <w:rPr>
          <w:rFonts w:cs="Arial"/>
          <w:b/>
        </w:rPr>
      </w:pPr>
      <w:r w:rsidRPr="005876A7">
        <w:rPr>
          <w:rFonts w:cs="Arial"/>
          <w:b/>
        </w:rPr>
        <w:t>Human Resources</w:t>
      </w:r>
      <w:r>
        <w:rPr>
          <w:rFonts w:cs="Arial"/>
          <w:b/>
        </w:rPr>
        <w:t xml:space="preserve"> </w:t>
      </w:r>
      <w:r>
        <w:rPr>
          <w:rFonts w:cs="Arial"/>
        </w:rPr>
        <w:t>will be responsible for undertaking appropriate driving license checks at the point of recruitment.</w:t>
      </w:r>
    </w:p>
    <w:p w14:paraId="0BA8B965" w14:textId="77777777" w:rsidR="009E4A8F" w:rsidRPr="007413E9" w:rsidRDefault="009E4A8F" w:rsidP="007413E9">
      <w:pPr>
        <w:pStyle w:val="ListParagraph"/>
        <w:numPr>
          <w:ilvl w:val="1"/>
          <w:numId w:val="16"/>
        </w:numPr>
        <w:rPr>
          <w:bCs/>
        </w:rPr>
      </w:pPr>
      <w:bookmarkStart w:id="97" w:name="_Toc483575741"/>
      <w:bookmarkStart w:id="98" w:name="_Toc485909087"/>
      <w:bookmarkStart w:id="99" w:name="_Toc493146285"/>
      <w:bookmarkStart w:id="100" w:name="_Toc493147805"/>
      <w:bookmarkStart w:id="101" w:name="_Toc493669221"/>
      <w:bookmarkStart w:id="102" w:name="_Toc135836954"/>
      <w:bookmarkStart w:id="103" w:name="_Toc135837099"/>
      <w:r w:rsidRPr="007413E9">
        <w:rPr>
          <w:b/>
        </w:rPr>
        <w:t>Employees</w:t>
      </w:r>
      <w:r>
        <w:t xml:space="preserve"> are responsible for</w:t>
      </w:r>
      <w:bookmarkEnd w:id="97"/>
      <w:bookmarkEnd w:id="98"/>
      <w:bookmarkEnd w:id="99"/>
      <w:bookmarkEnd w:id="100"/>
      <w:bookmarkEnd w:id="101"/>
      <w:bookmarkEnd w:id="102"/>
      <w:bookmarkEnd w:id="103"/>
    </w:p>
    <w:p w14:paraId="6F878F13" w14:textId="77777777" w:rsidR="007413E9" w:rsidRPr="007413E9" w:rsidRDefault="007413E9" w:rsidP="007413E9">
      <w:pPr>
        <w:pStyle w:val="ListParagraph"/>
        <w:ind w:left="1162"/>
        <w:rPr>
          <w:bCs/>
        </w:rPr>
      </w:pPr>
    </w:p>
    <w:p w14:paraId="62DD064C" w14:textId="72747C42" w:rsidR="009E4A8F" w:rsidRPr="007413E9" w:rsidRDefault="009E4A8F" w:rsidP="007413E9">
      <w:pPr>
        <w:pStyle w:val="ListParagraph"/>
        <w:numPr>
          <w:ilvl w:val="2"/>
          <w:numId w:val="16"/>
        </w:numPr>
        <w:rPr>
          <w:bCs/>
        </w:rPr>
      </w:pPr>
      <w:bookmarkStart w:id="104" w:name="_Toc483575742"/>
      <w:bookmarkStart w:id="105" w:name="_Toc485909088"/>
      <w:bookmarkStart w:id="106" w:name="_Toc493146286"/>
      <w:bookmarkStart w:id="107" w:name="_Toc493147806"/>
      <w:bookmarkStart w:id="108" w:name="_Toc493669222"/>
      <w:bookmarkStart w:id="109" w:name="_Toc135836955"/>
      <w:bookmarkStart w:id="110" w:name="_Toc135837100"/>
      <w:r w:rsidRPr="007413E9">
        <w:t>Adhering to this procedure.</w:t>
      </w:r>
      <w:bookmarkEnd w:id="104"/>
      <w:bookmarkEnd w:id="105"/>
      <w:bookmarkEnd w:id="106"/>
      <w:bookmarkEnd w:id="107"/>
      <w:bookmarkEnd w:id="108"/>
      <w:bookmarkEnd w:id="109"/>
      <w:bookmarkEnd w:id="110"/>
    </w:p>
    <w:p w14:paraId="7CEA6651" w14:textId="77777777" w:rsidR="007413E9" w:rsidRPr="007413E9" w:rsidRDefault="007413E9" w:rsidP="007413E9">
      <w:pPr>
        <w:pStyle w:val="ListParagraph"/>
        <w:ind w:left="1162"/>
        <w:rPr>
          <w:bCs/>
        </w:rPr>
      </w:pPr>
    </w:p>
    <w:p w14:paraId="54476AB3" w14:textId="77777777" w:rsidR="009E4A8F" w:rsidRDefault="009E4A8F" w:rsidP="007413E9">
      <w:pPr>
        <w:pStyle w:val="ListParagraph"/>
        <w:numPr>
          <w:ilvl w:val="2"/>
          <w:numId w:val="16"/>
        </w:numPr>
      </w:pPr>
      <w:bookmarkStart w:id="111" w:name="_Toc483575743"/>
      <w:bookmarkStart w:id="112" w:name="_Toc485909089"/>
      <w:bookmarkStart w:id="113" w:name="_Toc493146287"/>
      <w:bookmarkStart w:id="114" w:name="_Toc493147807"/>
      <w:bookmarkStart w:id="115" w:name="_Toc493669223"/>
      <w:bookmarkStart w:id="116" w:name="_Toc135836956"/>
      <w:bookmarkStart w:id="117" w:name="_Toc135837101"/>
      <w:r>
        <w:t>Notifying their line manager if they receive any points or restrictions on their license</w:t>
      </w:r>
      <w:bookmarkEnd w:id="111"/>
      <w:bookmarkEnd w:id="112"/>
      <w:bookmarkEnd w:id="113"/>
      <w:bookmarkEnd w:id="114"/>
      <w:bookmarkEnd w:id="115"/>
      <w:bookmarkEnd w:id="116"/>
      <w:bookmarkEnd w:id="117"/>
    </w:p>
    <w:p w14:paraId="2721BE87" w14:textId="77777777" w:rsidR="007413E9" w:rsidRDefault="007413E9" w:rsidP="007413E9"/>
    <w:p w14:paraId="52D52DBE" w14:textId="77777777" w:rsidR="009E4A8F" w:rsidRPr="007413E9" w:rsidRDefault="009E4A8F" w:rsidP="007413E9">
      <w:pPr>
        <w:pStyle w:val="ListParagraph"/>
        <w:numPr>
          <w:ilvl w:val="2"/>
          <w:numId w:val="16"/>
        </w:numPr>
        <w:rPr>
          <w:bCs/>
        </w:rPr>
      </w:pPr>
      <w:bookmarkStart w:id="118" w:name="_Toc483575744"/>
      <w:bookmarkStart w:id="119" w:name="_Toc485909090"/>
      <w:bookmarkStart w:id="120" w:name="_Toc493146288"/>
      <w:bookmarkStart w:id="121" w:name="_Toc493147808"/>
      <w:bookmarkStart w:id="122" w:name="_Toc493669224"/>
      <w:bookmarkStart w:id="123" w:name="_Toc135836957"/>
      <w:bookmarkStart w:id="124" w:name="_Toc135837102"/>
      <w:r w:rsidRPr="007413E9">
        <w:rPr>
          <w:bCs/>
        </w:rPr>
        <w:t xml:space="preserve">Informing their manager </w:t>
      </w:r>
      <w:r w:rsidRPr="0083667C">
        <w:t>of any health condition which may affect their ability to drive</w:t>
      </w:r>
      <w:r>
        <w:t>. (this is in addition to statutory obligations relating to medical conditions and driving)</w:t>
      </w:r>
      <w:bookmarkEnd w:id="118"/>
      <w:bookmarkEnd w:id="119"/>
      <w:bookmarkEnd w:id="120"/>
      <w:bookmarkEnd w:id="121"/>
      <w:bookmarkEnd w:id="122"/>
      <w:bookmarkEnd w:id="123"/>
      <w:bookmarkEnd w:id="124"/>
    </w:p>
    <w:p w14:paraId="4A4CC10E" w14:textId="77777777" w:rsidR="007413E9" w:rsidRPr="007413E9" w:rsidRDefault="007413E9" w:rsidP="007413E9">
      <w:pPr>
        <w:rPr>
          <w:bCs/>
        </w:rPr>
      </w:pPr>
    </w:p>
    <w:p w14:paraId="5748AE42" w14:textId="77777777" w:rsidR="009E4A8F" w:rsidRPr="003227CB" w:rsidRDefault="009E4A8F" w:rsidP="009E4A8F">
      <w:pPr>
        <w:numPr>
          <w:ilvl w:val="2"/>
          <w:numId w:val="2"/>
        </w:numPr>
        <w:spacing w:after="240"/>
      </w:pPr>
      <w:r w:rsidRPr="0083667C">
        <w:rPr>
          <w:rFonts w:cs="Arial"/>
        </w:rPr>
        <w:t>Ensuring that all vehicle incidents relating to this p</w:t>
      </w:r>
      <w:r>
        <w:rPr>
          <w:rFonts w:cs="Arial"/>
        </w:rPr>
        <w:t xml:space="preserve">rocedure </w:t>
      </w:r>
      <w:r w:rsidRPr="0083667C">
        <w:rPr>
          <w:rFonts w:cs="Arial"/>
        </w:rPr>
        <w:t>are reported</w:t>
      </w:r>
      <w:r>
        <w:rPr>
          <w:rFonts w:cs="Arial"/>
        </w:rPr>
        <w:t xml:space="preserve"> using the Road Traffic Collision Report form</w:t>
      </w:r>
      <w:r w:rsidRPr="0083667C">
        <w:rPr>
          <w:rFonts w:cs="Arial"/>
        </w:rPr>
        <w:t xml:space="preserve">. </w:t>
      </w:r>
    </w:p>
    <w:p w14:paraId="1A520AD2" w14:textId="77777777" w:rsidR="009E4A8F" w:rsidRPr="005E46BC" w:rsidRDefault="009E4A8F" w:rsidP="009E4A8F">
      <w:pPr>
        <w:numPr>
          <w:ilvl w:val="1"/>
          <w:numId w:val="2"/>
        </w:numPr>
        <w:spacing w:after="240"/>
      </w:pPr>
      <w:r w:rsidRPr="00245A1D">
        <w:rPr>
          <w:b/>
        </w:rPr>
        <w:t>Employees and Volunteers</w:t>
      </w:r>
      <w:r w:rsidRPr="005E46BC">
        <w:t xml:space="preserve"> are responsible for ensuring that they follow this policy at all times</w:t>
      </w:r>
      <w:r>
        <w:t xml:space="preserve"> by:</w:t>
      </w:r>
    </w:p>
    <w:p w14:paraId="5875E2E5" w14:textId="77777777" w:rsidR="009E4A8F" w:rsidRPr="002063B1" w:rsidRDefault="009E4A8F" w:rsidP="009E4A8F">
      <w:pPr>
        <w:numPr>
          <w:ilvl w:val="2"/>
          <w:numId w:val="2"/>
        </w:numPr>
        <w:spacing w:after="240"/>
      </w:pPr>
      <w:r w:rsidRPr="005E46BC">
        <w:t>Ensuring adherence to current Road Traffic Regulations. It should be clearly understood that private vehicles must observe speed restrictions and all other road traffic regulations, even when responding to an emergency call. There are no exemptions from the law. It is in everyone’s interest that proper care should be taken when responding to emergency calls and there should be appreciation that the difference between a reasonable response and an unreasonable response may</w:t>
      </w:r>
      <w:r>
        <w:t xml:space="preserve"> only amount to a few seconds. </w:t>
      </w:r>
      <w:r w:rsidRPr="005E46BC">
        <w:t xml:space="preserve">Community </w:t>
      </w:r>
      <w:r>
        <w:t>First R</w:t>
      </w:r>
      <w:r w:rsidRPr="005E46BC">
        <w:t>esponders and others driving on behalf of the Trust mu</w:t>
      </w:r>
      <w:r>
        <w:t xml:space="preserve">st not take unnecessary risks. </w:t>
      </w:r>
      <w:r w:rsidRPr="005E46BC">
        <w:t>It is better to arrive a few seconds later than not to arrive at all</w:t>
      </w:r>
      <w:r>
        <w:t>.</w:t>
      </w:r>
    </w:p>
    <w:p w14:paraId="3D8E4568" w14:textId="77777777" w:rsidR="009E4A8F" w:rsidRPr="005E46BC" w:rsidRDefault="009E4A8F" w:rsidP="009E4A8F">
      <w:pPr>
        <w:numPr>
          <w:ilvl w:val="2"/>
          <w:numId w:val="2"/>
        </w:numPr>
        <w:spacing w:after="240"/>
      </w:pPr>
      <w:r w:rsidRPr="005E46BC">
        <w:t>Compliance with the statutory duty under Section 7 of the Health and Safety at Work Act 1974</w:t>
      </w:r>
      <w:r>
        <w:t>,</w:t>
      </w:r>
      <w:r w:rsidRPr="005E46BC">
        <w:t xml:space="preserve"> i.e. to co-operate with their manager so they can comply with their duties, e.g. use vehicles in accordance with training and following procedures.</w:t>
      </w:r>
    </w:p>
    <w:p w14:paraId="160974EF" w14:textId="77777777" w:rsidR="009E4A8F" w:rsidRPr="005E46BC" w:rsidRDefault="009E4A8F" w:rsidP="009E4A8F">
      <w:pPr>
        <w:numPr>
          <w:ilvl w:val="2"/>
          <w:numId w:val="2"/>
        </w:numPr>
        <w:spacing w:after="240"/>
      </w:pPr>
      <w:r w:rsidRPr="005E46BC">
        <w:t>Taking reasonable care of their own health and safety and that of others that may be affected by their actions, this includes driving vehicles safely.</w:t>
      </w:r>
    </w:p>
    <w:p w14:paraId="03D7B99D" w14:textId="77777777" w:rsidR="009E4A8F" w:rsidRPr="002063B1" w:rsidRDefault="009E4A8F" w:rsidP="009E4A8F">
      <w:pPr>
        <w:numPr>
          <w:ilvl w:val="2"/>
          <w:numId w:val="2"/>
        </w:numPr>
        <w:spacing w:after="240"/>
      </w:pPr>
      <w:r w:rsidRPr="005E46BC">
        <w:t xml:space="preserve">Ensuring that, if driving </w:t>
      </w:r>
      <w:r>
        <w:t xml:space="preserve">a privately owned </w:t>
      </w:r>
      <w:r w:rsidRPr="005E46BC">
        <w:t>car is part of their role, e.g. non- operational (attending meetings or training courses) they make provision with their insurance company that they have the relevant cover for the journeys they undertake</w:t>
      </w:r>
      <w:r>
        <w:t xml:space="preserve"> which must include business cover.</w:t>
      </w:r>
    </w:p>
    <w:p w14:paraId="05F865C6" w14:textId="77777777" w:rsidR="009E4A8F" w:rsidRPr="005E46BC" w:rsidRDefault="009E4A8F" w:rsidP="009E4A8F">
      <w:pPr>
        <w:numPr>
          <w:ilvl w:val="2"/>
          <w:numId w:val="2"/>
        </w:numPr>
        <w:spacing w:after="240"/>
      </w:pPr>
      <w:r w:rsidRPr="005E46BC">
        <w:lastRenderedPageBreak/>
        <w:t>Ensuring that all privately owned cars used for work</w:t>
      </w:r>
      <w:r>
        <w:t xml:space="preserve"> are roadworthy and those which are over three</w:t>
      </w:r>
      <w:r w:rsidRPr="005E46BC">
        <w:t xml:space="preserve"> years old, have a current MOT.  </w:t>
      </w:r>
    </w:p>
    <w:p w14:paraId="25651713" w14:textId="77777777" w:rsidR="009E4A8F" w:rsidRPr="005E46BC" w:rsidRDefault="009E4A8F" w:rsidP="009E4A8F">
      <w:pPr>
        <w:numPr>
          <w:ilvl w:val="2"/>
          <w:numId w:val="2"/>
        </w:numPr>
        <w:spacing w:after="240"/>
      </w:pPr>
      <w:r w:rsidRPr="005E46BC">
        <w:t>Ensuring that their driving licences are current and they must inform their manager of any endorsements as soon as they occur.</w:t>
      </w:r>
    </w:p>
    <w:p w14:paraId="32330BF2" w14:textId="77777777" w:rsidR="009E4A8F" w:rsidRPr="005E46BC" w:rsidRDefault="009E4A8F" w:rsidP="009E4A8F">
      <w:pPr>
        <w:numPr>
          <w:ilvl w:val="2"/>
          <w:numId w:val="2"/>
        </w:numPr>
        <w:spacing w:after="240"/>
      </w:pPr>
      <w:r>
        <w:t>Ensuring that lease</w:t>
      </w:r>
      <w:r w:rsidRPr="005E46BC">
        <w:t xml:space="preserve">/ hire cars are serviced and maintained according to manufacturer’s recommendations.  </w:t>
      </w:r>
    </w:p>
    <w:p w14:paraId="6B5E06CC" w14:textId="77777777" w:rsidR="009E4A8F" w:rsidRPr="005E46BC" w:rsidRDefault="009E4A8F" w:rsidP="009E4A8F">
      <w:pPr>
        <w:numPr>
          <w:ilvl w:val="2"/>
          <w:numId w:val="2"/>
        </w:numPr>
        <w:spacing w:after="240"/>
      </w:pPr>
      <w:r w:rsidRPr="005E46BC">
        <w:t>Ensuring that they do basic safety checks of oil, fluids</w:t>
      </w:r>
      <w:r>
        <w:t>,</w:t>
      </w:r>
      <w:r w:rsidRPr="005E46BC">
        <w:t xml:space="preserve"> tyres</w:t>
      </w:r>
      <w:r>
        <w:t>,</w:t>
      </w:r>
      <w:r w:rsidRPr="005E46BC">
        <w:t xml:space="preserve"> lights etc</w:t>
      </w:r>
      <w:r>
        <w:t>.</w:t>
      </w:r>
      <w:r w:rsidRPr="005E46BC">
        <w:t xml:space="preserve"> as per legal requirements and manufacturer’s recommendations.</w:t>
      </w:r>
    </w:p>
    <w:p w14:paraId="1137AFAE" w14:textId="77777777" w:rsidR="009E4A8F" w:rsidRPr="00575C60" w:rsidRDefault="009E4A8F" w:rsidP="009E4A8F">
      <w:pPr>
        <w:numPr>
          <w:ilvl w:val="2"/>
          <w:numId w:val="2"/>
        </w:numPr>
        <w:spacing w:after="240"/>
      </w:pPr>
      <w:r w:rsidRPr="005E46BC">
        <w:t>Operational staff should ensure that if they</w:t>
      </w:r>
      <w:r>
        <w:t xml:space="preserve"> breakdown in a Trust vehicle EO</w:t>
      </w:r>
      <w:r w:rsidRPr="005E46BC">
        <w:t>C are informed and their advice followed (e.g. concerning the patient) and follow the relevant breakdown procedure.</w:t>
      </w:r>
    </w:p>
    <w:p w14:paraId="205B6B86" w14:textId="134B084C" w:rsidR="009E4A8F" w:rsidRPr="005E46BC" w:rsidRDefault="009E4A8F" w:rsidP="009E4A8F">
      <w:pPr>
        <w:numPr>
          <w:ilvl w:val="2"/>
          <w:numId w:val="2"/>
        </w:numPr>
        <w:spacing w:after="240"/>
      </w:pPr>
      <w:r w:rsidRPr="005E46BC">
        <w:t>Operational staff should ensure that if they are involved in a RTC in</w:t>
      </w:r>
      <w:r>
        <w:t xml:space="preserve"> a Trust vehicle they contact EO</w:t>
      </w:r>
      <w:r w:rsidRPr="005E46BC">
        <w:t>C and follow their advice (e.g. concerning the patient), inform the Production Desk and follow the relevant RTC procedure</w:t>
      </w:r>
      <w:r w:rsidR="003211F2">
        <w:t xml:space="preserve">, as stated in </w:t>
      </w:r>
      <w:r w:rsidR="00CE5961">
        <w:t xml:space="preserve">section </w:t>
      </w:r>
      <w:r w:rsidR="003211F2">
        <w:t>4.15</w:t>
      </w:r>
      <w:r w:rsidR="00346B09">
        <w:t>.</w:t>
      </w:r>
    </w:p>
    <w:p w14:paraId="6E38A7D4" w14:textId="77777777" w:rsidR="009E4A8F" w:rsidRPr="005E46BC" w:rsidRDefault="009E4A8F" w:rsidP="009E4A8F">
      <w:pPr>
        <w:numPr>
          <w:ilvl w:val="2"/>
          <w:numId w:val="2"/>
        </w:numPr>
        <w:spacing w:after="240"/>
      </w:pPr>
      <w:r w:rsidRPr="005E46BC">
        <w:t>Operational staff should ensure they inform their manager of any health issues which may impact on their ability to drive Trust vehicles or vehicles used on behalf of the Trust.</w:t>
      </w:r>
    </w:p>
    <w:p w14:paraId="0E8B5A0B" w14:textId="77777777" w:rsidR="009E4A8F" w:rsidRPr="005E46BC" w:rsidRDefault="009E4A8F" w:rsidP="009E4A8F">
      <w:pPr>
        <w:numPr>
          <w:ilvl w:val="2"/>
          <w:numId w:val="2"/>
        </w:numPr>
        <w:spacing w:after="240"/>
      </w:pPr>
      <w:r w:rsidRPr="005E46BC">
        <w:t xml:space="preserve">Ensuring compliance with the requirements of the Trust Lease Car Agreement, where appropriate. </w:t>
      </w:r>
    </w:p>
    <w:p w14:paraId="130A0C60" w14:textId="71394384" w:rsidR="009E4A8F" w:rsidRPr="002063B1" w:rsidRDefault="009E4A8F" w:rsidP="009E4A8F">
      <w:pPr>
        <w:numPr>
          <w:ilvl w:val="2"/>
          <w:numId w:val="2"/>
        </w:numPr>
        <w:spacing w:after="240"/>
      </w:pPr>
      <w:r w:rsidRPr="005E46BC">
        <w:t>Ensuring they are fit to drive at all times, and be aware of the implications which alcohol, illicit substances and medication have on driving. The law provides upper limits on alcohol</w:t>
      </w:r>
      <w:r>
        <w:t xml:space="preserve"> which must not be exceeded and it is strongly recommended that staff limit their intake well before attending work. </w:t>
      </w:r>
      <w:r w:rsidRPr="005E46BC">
        <w:t xml:space="preserve">There are however no limits imposed for illicit substances and staff found to be under the influences of drugs will </w:t>
      </w:r>
      <w:r>
        <w:t xml:space="preserve">most likely </w:t>
      </w:r>
      <w:r w:rsidRPr="005E46BC">
        <w:t>be arrested and prosecuted by the Police if</w:t>
      </w:r>
      <w:r>
        <w:t xml:space="preserve"> caught in charge of a vehicle.</w:t>
      </w:r>
      <w:r w:rsidRPr="005E46BC">
        <w:t xml:space="preserve"> Impairment to drive is a serious offence and those found to be unable or unfit to perform their duties, even if under the legally prescribed limits, may face disciplinary action</w:t>
      </w:r>
      <w:r w:rsidR="00C774C3">
        <w:t xml:space="preserve"> including summary dismissal.</w:t>
      </w:r>
    </w:p>
    <w:p w14:paraId="07B03C00" w14:textId="4629597C" w:rsidR="00BA7287" w:rsidRDefault="009321E0" w:rsidP="00BA7287">
      <w:pPr>
        <w:pStyle w:val="Heading1"/>
        <w:numPr>
          <w:ilvl w:val="0"/>
          <w:numId w:val="2"/>
        </w:numPr>
        <w:rPr>
          <w:b/>
          <w:bCs w:val="0"/>
          <w:sz w:val="28"/>
          <w:szCs w:val="28"/>
        </w:rPr>
      </w:pPr>
      <w:bookmarkStart w:id="125" w:name="_Toc135836958"/>
      <w:bookmarkStart w:id="126" w:name="_Toc135837103"/>
      <w:bookmarkStart w:id="127" w:name="_Toc135901071"/>
      <w:r w:rsidRPr="000954BE">
        <w:rPr>
          <w:b/>
          <w:bCs w:val="0"/>
          <w:sz w:val="28"/>
          <w:szCs w:val="28"/>
        </w:rPr>
        <w:t>Audit and Review</w:t>
      </w:r>
      <w:bookmarkEnd w:id="125"/>
      <w:bookmarkEnd w:id="126"/>
      <w:bookmarkEnd w:id="127"/>
    </w:p>
    <w:p w14:paraId="2694F08F" w14:textId="77777777" w:rsidR="00BA7287" w:rsidRPr="00BA7287" w:rsidRDefault="00BA7287" w:rsidP="00BA7287"/>
    <w:p w14:paraId="661B172E" w14:textId="77777777" w:rsidR="009E4A8F" w:rsidRDefault="009E4A8F" w:rsidP="009E4A8F">
      <w:pPr>
        <w:numPr>
          <w:ilvl w:val="1"/>
          <w:numId w:val="11"/>
        </w:numPr>
        <w:spacing w:after="240"/>
      </w:pPr>
      <w:r>
        <w:t>This policy will be reviewed at six months or sooner if new legislation, codes of practice or national standards are introduced.</w:t>
      </w:r>
    </w:p>
    <w:p w14:paraId="38552F94" w14:textId="77777777" w:rsidR="009E4A8F" w:rsidRDefault="009E4A8F" w:rsidP="009E4A8F">
      <w:pPr>
        <w:numPr>
          <w:ilvl w:val="1"/>
          <w:numId w:val="11"/>
        </w:numPr>
        <w:spacing w:after="240"/>
      </w:pPr>
      <w:r>
        <w:t>A review will be undertaken in line with the Policy on Policies.</w:t>
      </w:r>
    </w:p>
    <w:p w14:paraId="4BE54835" w14:textId="08A6DE61" w:rsidR="00794FAD" w:rsidRDefault="002748EF" w:rsidP="00794FAD">
      <w:pPr>
        <w:pStyle w:val="Heading1"/>
        <w:numPr>
          <w:ilvl w:val="0"/>
          <w:numId w:val="11"/>
        </w:numPr>
        <w:rPr>
          <w:b/>
          <w:bCs w:val="0"/>
          <w:sz w:val="28"/>
          <w:szCs w:val="28"/>
        </w:rPr>
      </w:pPr>
      <w:bookmarkStart w:id="128" w:name="_Toc135836959"/>
      <w:bookmarkStart w:id="129" w:name="_Toc135837104"/>
      <w:bookmarkStart w:id="130" w:name="_Toc135901072"/>
      <w:r w:rsidRPr="000954BE">
        <w:rPr>
          <w:b/>
          <w:bCs w:val="0"/>
          <w:sz w:val="28"/>
          <w:szCs w:val="28"/>
        </w:rPr>
        <w:t>Associated Documentation</w:t>
      </w:r>
      <w:bookmarkEnd w:id="128"/>
      <w:bookmarkEnd w:id="129"/>
      <w:bookmarkEnd w:id="130"/>
    </w:p>
    <w:p w14:paraId="1EC26DF0" w14:textId="77777777" w:rsidR="00794FAD" w:rsidRPr="00794FAD" w:rsidRDefault="00794FAD" w:rsidP="00794FAD"/>
    <w:p w14:paraId="2B3CC114" w14:textId="77777777" w:rsidR="009E4A8F" w:rsidRDefault="009E4A8F" w:rsidP="00F31C24">
      <w:pPr>
        <w:numPr>
          <w:ilvl w:val="2"/>
          <w:numId w:val="19"/>
        </w:numPr>
        <w:spacing w:after="240"/>
        <w:rPr>
          <w:rFonts w:cs="Arial"/>
        </w:rPr>
      </w:pPr>
      <w:r>
        <w:rPr>
          <w:rFonts w:cs="Arial"/>
        </w:rPr>
        <w:t>Driving Standards Policy V1</w:t>
      </w:r>
    </w:p>
    <w:p w14:paraId="54C7DECD" w14:textId="77777777" w:rsidR="009E4A8F" w:rsidRDefault="009E4A8F" w:rsidP="00F31C24">
      <w:pPr>
        <w:numPr>
          <w:ilvl w:val="2"/>
          <w:numId w:val="19"/>
        </w:numPr>
        <w:spacing w:after="240"/>
        <w:rPr>
          <w:rFonts w:cs="Arial"/>
        </w:rPr>
      </w:pPr>
      <w:r>
        <w:rPr>
          <w:rFonts w:cs="Arial"/>
        </w:rPr>
        <w:t>Emergency Driving &amp; the Law Procedure V1</w:t>
      </w:r>
    </w:p>
    <w:p w14:paraId="4993FCE1" w14:textId="77777777" w:rsidR="00ED0BD0" w:rsidRDefault="002748EF" w:rsidP="000954BE">
      <w:pPr>
        <w:pStyle w:val="Heading1"/>
        <w:numPr>
          <w:ilvl w:val="0"/>
          <w:numId w:val="25"/>
        </w:numPr>
        <w:rPr>
          <w:b/>
          <w:bCs w:val="0"/>
          <w:sz w:val="28"/>
          <w:szCs w:val="28"/>
        </w:rPr>
      </w:pPr>
      <w:bookmarkStart w:id="131" w:name="_Toc135836960"/>
      <w:bookmarkStart w:id="132" w:name="_Toc135837105"/>
      <w:bookmarkStart w:id="133" w:name="_Toc135901073"/>
      <w:r w:rsidRPr="000954BE">
        <w:rPr>
          <w:b/>
          <w:bCs w:val="0"/>
          <w:sz w:val="28"/>
          <w:szCs w:val="28"/>
        </w:rPr>
        <w:lastRenderedPageBreak/>
        <w:t>References</w:t>
      </w:r>
      <w:bookmarkEnd w:id="131"/>
      <w:bookmarkEnd w:id="132"/>
      <w:bookmarkEnd w:id="133"/>
    </w:p>
    <w:p w14:paraId="3C136132" w14:textId="77777777" w:rsidR="00794FAD" w:rsidRPr="00794FAD" w:rsidRDefault="00794FAD" w:rsidP="00794FAD"/>
    <w:p w14:paraId="4D5335F4" w14:textId="77777777" w:rsidR="00E205D9" w:rsidRPr="000F04DB" w:rsidRDefault="00E205D9" w:rsidP="00F31C24">
      <w:pPr>
        <w:numPr>
          <w:ilvl w:val="1"/>
          <w:numId w:val="20"/>
        </w:numPr>
        <w:spacing w:after="240"/>
        <w:rPr>
          <w:rFonts w:cs="Arial"/>
        </w:rPr>
      </w:pPr>
      <w:r>
        <w:t>Serious Incident ‘Pilot’ Procedure</w:t>
      </w:r>
      <w:r w:rsidRPr="000F04DB">
        <w:rPr>
          <w:rFonts w:cs="Arial"/>
        </w:rPr>
        <w:t xml:space="preserve"> </w:t>
      </w:r>
    </w:p>
    <w:p w14:paraId="516FC9E0" w14:textId="77777777" w:rsidR="009E4A8F" w:rsidRPr="000F04DB" w:rsidRDefault="009E4A8F" w:rsidP="00F31C24">
      <w:pPr>
        <w:numPr>
          <w:ilvl w:val="1"/>
          <w:numId w:val="20"/>
        </w:numPr>
        <w:spacing w:after="240"/>
        <w:rPr>
          <w:rFonts w:cs="Arial"/>
        </w:rPr>
      </w:pPr>
      <w:r w:rsidRPr="000F04DB">
        <w:rPr>
          <w:rFonts w:cs="Arial"/>
        </w:rPr>
        <w:t xml:space="preserve">Treatment Mobilisation and Conveyance of Bariatric Patients Procedure </w:t>
      </w:r>
    </w:p>
    <w:p w14:paraId="48A0687F" w14:textId="77777777" w:rsidR="009E4A8F" w:rsidRPr="000F04DB" w:rsidRDefault="009E4A8F" w:rsidP="00F31C24">
      <w:pPr>
        <w:numPr>
          <w:ilvl w:val="1"/>
          <w:numId w:val="20"/>
        </w:numPr>
        <w:spacing w:after="240"/>
        <w:rPr>
          <w:rFonts w:cs="Arial"/>
        </w:rPr>
      </w:pPr>
      <w:r w:rsidRPr="000F04DB">
        <w:rPr>
          <w:rFonts w:cs="Arial"/>
        </w:rPr>
        <w:t>Capability Policy</w:t>
      </w:r>
    </w:p>
    <w:p w14:paraId="4CD5ACF9" w14:textId="77777777" w:rsidR="009E4A8F" w:rsidRDefault="009E4A8F" w:rsidP="00F31C24">
      <w:pPr>
        <w:numPr>
          <w:ilvl w:val="1"/>
          <w:numId w:val="20"/>
        </w:numPr>
        <w:spacing w:after="240"/>
        <w:rPr>
          <w:rFonts w:cs="Arial"/>
        </w:rPr>
      </w:pPr>
      <w:r w:rsidRPr="000F04DB">
        <w:rPr>
          <w:rFonts w:cs="Arial"/>
        </w:rPr>
        <w:t>Disciplinary Policy</w:t>
      </w:r>
    </w:p>
    <w:p w14:paraId="3C59A852" w14:textId="77777777" w:rsidR="009E4A8F" w:rsidRPr="000F04DB" w:rsidRDefault="009E4A8F" w:rsidP="00F31C24">
      <w:pPr>
        <w:numPr>
          <w:ilvl w:val="1"/>
          <w:numId w:val="20"/>
        </w:numPr>
        <w:spacing w:after="240"/>
        <w:rPr>
          <w:rFonts w:cs="Arial"/>
        </w:rPr>
      </w:pPr>
      <w:r>
        <w:rPr>
          <w:rFonts w:cs="Arial"/>
        </w:rPr>
        <w:t>Policy on Policies</w:t>
      </w:r>
    </w:p>
    <w:p w14:paraId="569B1FCA" w14:textId="77777777" w:rsidR="009E4A8F" w:rsidRPr="00A333E5" w:rsidRDefault="009E4A8F" w:rsidP="00F31C24">
      <w:pPr>
        <w:numPr>
          <w:ilvl w:val="1"/>
          <w:numId w:val="20"/>
        </w:numPr>
        <w:spacing w:after="240"/>
        <w:rPr>
          <w:rFonts w:cs="Arial"/>
        </w:rPr>
      </w:pPr>
      <w:r w:rsidRPr="00A333E5">
        <w:rPr>
          <w:rFonts w:cs="Arial"/>
        </w:rPr>
        <w:t>Road Traffic Act 1988 amended 1991</w:t>
      </w:r>
    </w:p>
    <w:p w14:paraId="181F6599" w14:textId="77777777" w:rsidR="009E4A8F" w:rsidRPr="00A333E5" w:rsidRDefault="009E4A8F" w:rsidP="00F31C24">
      <w:pPr>
        <w:numPr>
          <w:ilvl w:val="1"/>
          <w:numId w:val="20"/>
        </w:numPr>
        <w:spacing w:after="240"/>
        <w:rPr>
          <w:rFonts w:cs="Arial"/>
        </w:rPr>
      </w:pPr>
      <w:r w:rsidRPr="00A333E5">
        <w:rPr>
          <w:rFonts w:cs="Arial"/>
        </w:rPr>
        <w:t>Corporate Manslaughter and Homicide Act 2007</w:t>
      </w:r>
    </w:p>
    <w:p w14:paraId="07895090" w14:textId="77777777" w:rsidR="009E4A8F" w:rsidRPr="00A333E5" w:rsidRDefault="009E4A8F" w:rsidP="00F31C24">
      <w:pPr>
        <w:numPr>
          <w:ilvl w:val="1"/>
          <w:numId w:val="20"/>
        </w:numPr>
        <w:spacing w:after="240"/>
        <w:rPr>
          <w:rFonts w:cs="Arial"/>
        </w:rPr>
      </w:pPr>
      <w:r w:rsidRPr="00A333E5">
        <w:rPr>
          <w:rFonts w:cs="Arial"/>
        </w:rPr>
        <w:t>Road Safety Act 2006</w:t>
      </w:r>
    </w:p>
    <w:p w14:paraId="39E45DB5" w14:textId="77777777" w:rsidR="009E4A8F" w:rsidRPr="00A333E5" w:rsidRDefault="009E4A8F" w:rsidP="00F31C24">
      <w:pPr>
        <w:numPr>
          <w:ilvl w:val="1"/>
          <w:numId w:val="20"/>
        </w:numPr>
        <w:spacing w:after="240"/>
        <w:rPr>
          <w:rFonts w:cs="Arial"/>
        </w:rPr>
      </w:pPr>
      <w:r w:rsidRPr="00A333E5">
        <w:rPr>
          <w:rFonts w:cs="Arial"/>
        </w:rPr>
        <w:t>Highway Code</w:t>
      </w:r>
    </w:p>
    <w:p w14:paraId="08EBC7D7" w14:textId="77777777" w:rsidR="009E4A8F" w:rsidRPr="00A333E5" w:rsidRDefault="009E4A8F" w:rsidP="00F31C24">
      <w:pPr>
        <w:numPr>
          <w:ilvl w:val="1"/>
          <w:numId w:val="20"/>
        </w:numPr>
        <w:spacing w:after="240"/>
        <w:rPr>
          <w:rFonts w:cs="Arial"/>
        </w:rPr>
      </w:pPr>
      <w:r w:rsidRPr="00A333E5">
        <w:rPr>
          <w:rFonts w:cs="Arial"/>
        </w:rPr>
        <w:t>Emergency Response Drivers Handbook (Class Publication)</w:t>
      </w:r>
    </w:p>
    <w:p w14:paraId="585E49D6" w14:textId="77777777" w:rsidR="009E4A8F" w:rsidRPr="00A333E5" w:rsidRDefault="009E4A8F" w:rsidP="00F31C24">
      <w:pPr>
        <w:numPr>
          <w:ilvl w:val="1"/>
          <w:numId w:val="20"/>
        </w:numPr>
        <w:spacing w:after="240"/>
        <w:rPr>
          <w:rFonts w:cs="Arial"/>
        </w:rPr>
      </w:pPr>
      <w:r w:rsidRPr="00A333E5">
        <w:rPr>
          <w:rFonts w:cs="Arial"/>
        </w:rPr>
        <w:t>Roadcraft (HMSO Publication)</w:t>
      </w:r>
    </w:p>
    <w:p w14:paraId="34438291" w14:textId="1BF31A74" w:rsidR="009E4A8F" w:rsidRDefault="009E4A8F" w:rsidP="00F31C24">
      <w:pPr>
        <w:numPr>
          <w:ilvl w:val="1"/>
          <w:numId w:val="20"/>
        </w:numPr>
        <w:spacing w:after="240"/>
        <w:rPr>
          <w:rFonts w:cs="Arial"/>
        </w:rPr>
      </w:pPr>
      <w:r w:rsidRPr="00A333E5">
        <w:rPr>
          <w:rFonts w:cs="Arial"/>
        </w:rPr>
        <w:t>De-regulation Act 2015</w:t>
      </w:r>
    </w:p>
    <w:p w14:paraId="584A8990" w14:textId="270A79C9" w:rsidR="00CF71D8" w:rsidRPr="00A333E5" w:rsidRDefault="00CF71D8" w:rsidP="00F31C24">
      <w:pPr>
        <w:numPr>
          <w:ilvl w:val="1"/>
          <w:numId w:val="20"/>
        </w:numPr>
        <w:spacing w:after="240"/>
        <w:rPr>
          <w:rFonts w:cs="Arial"/>
        </w:rPr>
      </w:pPr>
      <w:r>
        <w:rPr>
          <w:rFonts w:cs="Arial"/>
        </w:rPr>
        <w:t>CFR Policy</w:t>
      </w:r>
    </w:p>
    <w:p w14:paraId="4993FCE6" w14:textId="77777777" w:rsidR="00D43B0D" w:rsidRPr="00985F87" w:rsidRDefault="00D43B0D" w:rsidP="00D43B0D">
      <w:pPr>
        <w:spacing w:after="240"/>
        <w:rPr>
          <w:rFonts w:cs="Arial"/>
        </w:rPr>
      </w:pPr>
    </w:p>
    <w:p w14:paraId="386A986A" w14:textId="77777777" w:rsidR="009E4A8F" w:rsidRDefault="008F4B5E" w:rsidP="009E4A8F">
      <w:pPr>
        <w:tabs>
          <w:tab w:val="left" w:pos="1843"/>
        </w:tabs>
        <w:spacing w:before="360" w:after="240"/>
        <w:ind w:left="1843" w:hanging="1843"/>
        <w:outlineLvl w:val="0"/>
        <w:rPr>
          <w:rFonts w:cs="Arial"/>
          <w:b/>
          <w:bCs/>
          <w:sz w:val="28"/>
          <w:szCs w:val="28"/>
        </w:rPr>
      </w:pPr>
      <w:r>
        <w:rPr>
          <w:rFonts w:cs="Arial"/>
          <w:b/>
          <w:bCs/>
          <w:sz w:val="28"/>
          <w:szCs w:val="28"/>
        </w:rPr>
        <w:br w:type="page"/>
      </w:r>
      <w:bookmarkStart w:id="134" w:name="_Toc135836961"/>
      <w:bookmarkStart w:id="135" w:name="_Toc135837106"/>
      <w:bookmarkStart w:id="136" w:name="_Toc135901074"/>
      <w:bookmarkStart w:id="137" w:name="_Toc404362882"/>
      <w:r w:rsidRPr="00761C8F">
        <w:rPr>
          <w:rFonts w:cs="Arial"/>
          <w:b/>
          <w:bCs/>
          <w:sz w:val="28"/>
          <w:szCs w:val="28"/>
        </w:rPr>
        <w:lastRenderedPageBreak/>
        <w:t>Appendi</w:t>
      </w:r>
      <w:r>
        <w:rPr>
          <w:rFonts w:cs="Arial"/>
          <w:b/>
          <w:bCs/>
          <w:sz w:val="28"/>
          <w:szCs w:val="28"/>
        </w:rPr>
        <w:t>x A:</w:t>
      </w:r>
      <w:r>
        <w:rPr>
          <w:rFonts w:cs="Arial"/>
          <w:b/>
          <w:bCs/>
          <w:sz w:val="28"/>
          <w:szCs w:val="28"/>
        </w:rPr>
        <w:tab/>
      </w:r>
      <w:r w:rsidR="009E4A8F">
        <w:rPr>
          <w:rFonts w:cs="Arial"/>
          <w:b/>
          <w:bCs/>
          <w:sz w:val="28"/>
          <w:szCs w:val="28"/>
        </w:rPr>
        <w:t>Vehicle Make Ready Record (MRS 005)</w:t>
      </w:r>
      <w:bookmarkEnd w:id="134"/>
      <w:bookmarkEnd w:id="135"/>
      <w:bookmarkEnd w:id="136"/>
    </w:p>
    <w:p w14:paraId="6C65DA1F" w14:textId="77777777" w:rsidR="009E4A8F" w:rsidRDefault="009E4A8F" w:rsidP="009E4A8F">
      <w:pPr>
        <w:tabs>
          <w:tab w:val="left" w:pos="1162"/>
        </w:tabs>
        <w:spacing w:after="240"/>
        <w:rPr>
          <w:rFonts w:cs="Arial"/>
        </w:rPr>
      </w:pPr>
      <w:r>
        <w:rPr>
          <w:rFonts w:cs="Arial"/>
        </w:rPr>
        <w:t>The shaded areas on the MRS 005 must be completed by staff during their shift (if applicable)</w:t>
      </w:r>
    </w:p>
    <w:p w14:paraId="1A6DB945" w14:textId="18163582" w:rsidR="009E4A8F" w:rsidRDefault="009E4A8F" w:rsidP="009E4A8F">
      <w:pPr>
        <w:tabs>
          <w:tab w:val="left" w:pos="1162"/>
        </w:tabs>
        <w:spacing w:after="240"/>
        <w:rPr>
          <w:rFonts w:cs="Arial"/>
        </w:rPr>
      </w:pPr>
      <w:r>
        <w:rPr>
          <w:rFonts w:cs="Arial"/>
        </w:rPr>
        <w:t>For ease the areas outlined in Red below are the shaded areas on the MRS005.</w:t>
      </w:r>
    </w:p>
    <w:p w14:paraId="270F8416" w14:textId="70650F67" w:rsidR="009E4A8F" w:rsidRDefault="009E4A8F" w:rsidP="009E4A8F">
      <w:pPr>
        <w:tabs>
          <w:tab w:val="left" w:pos="1162"/>
        </w:tabs>
        <w:spacing w:after="240"/>
        <w:rPr>
          <w:rFonts w:cs="Arial"/>
        </w:rPr>
      </w:pPr>
      <w:r w:rsidRPr="009E4A8F">
        <w:rPr>
          <w:rFonts w:cs="Arial"/>
          <w:noProof/>
          <w:lang w:eastAsia="en-GB"/>
        </w:rPr>
        <w:drawing>
          <wp:inline distT="0" distB="0" distL="0" distR="0" wp14:anchorId="22434CB3" wp14:editId="72563611">
            <wp:extent cx="5419725" cy="5667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25" cy="5667375"/>
                    </a:xfrm>
                    <a:prstGeom prst="rect">
                      <a:avLst/>
                    </a:prstGeom>
                    <a:noFill/>
                    <a:ln>
                      <a:noFill/>
                    </a:ln>
                  </pic:spPr>
                </pic:pic>
              </a:graphicData>
            </a:graphic>
          </wp:inline>
        </w:drawing>
      </w:r>
    </w:p>
    <w:bookmarkEnd w:id="137"/>
    <w:p w14:paraId="71A6071A" w14:textId="77777777" w:rsidR="00655858" w:rsidRDefault="00655858" w:rsidP="00655858">
      <w:pPr>
        <w:tabs>
          <w:tab w:val="left" w:pos="1843"/>
        </w:tabs>
        <w:spacing w:before="360" w:after="240"/>
        <w:ind w:left="1843" w:hanging="1843"/>
        <w:outlineLvl w:val="0"/>
        <w:rPr>
          <w:rFonts w:cs="Arial"/>
          <w:b/>
          <w:sz w:val="28"/>
        </w:rPr>
      </w:pPr>
      <w:r>
        <w:rPr>
          <w:rFonts w:cs="Arial"/>
          <w:b/>
          <w:sz w:val="28"/>
        </w:rPr>
        <w:br w:type="page"/>
      </w:r>
    </w:p>
    <w:p w14:paraId="55133829" w14:textId="7B9080B1" w:rsidR="00956798" w:rsidRPr="00655858" w:rsidRDefault="00655858" w:rsidP="00655858">
      <w:pPr>
        <w:tabs>
          <w:tab w:val="left" w:pos="1843"/>
        </w:tabs>
        <w:spacing w:before="360" w:after="240"/>
        <w:ind w:left="1843" w:hanging="1843"/>
        <w:outlineLvl w:val="0"/>
        <w:rPr>
          <w:rFonts w:cs="Arial"/>
          <w:b/>
          <w:sz w:val="28"/>
        </w:rPr>
      </w:pPr>
      <w:bookmarkStart w:id="138" w:name="_Toc135836962"/>
      <w:bookmarkStart w:id="139" w:name="_Toc135837107"/>
      <w:bookmarkStart w:id="140" w:name="_Toc135901075"/>
      <w:r w:rsidRPr="00655858">
        <w:rPr>
          <w:rFonts w:cs="Arial"/>
          <w:b/>
          <w:sz w:val="28"/>
        </w:rPr>
        <w:lastRenderedPageBreak/>
        <w:t>Appendix B:</w:t>
      </w:r>
      <w:r w:rsidRPr="00655858">
        <w:rPr>
          <w:rFonts w:cs="Arial"/>
          <w:b/>
          <w:sz w:val="28"/>
        </w:rPr>
        <w:tab/>
        <w:t>Categories of Drivers</w:t>
      </w:r>
      <w:bookmarkEnd w:id="138"/>
      <w:bookmarkEnd w:id="139"/>
      <w:bookmarkEnd w:id="140"/>
    </w:p>
    <w:tbl>
      <w:tblPr>
        <w:tblW w:w="9900" w:type="dxa"/>
        <w:tblInd w:w="-10" w:type="dxa"/>
        <w:tblLook w:val="04A0" w:firstRow="1" w:lastRow="0" w:firstColumn="1" w:lastColumn="0" w:noHBand="0" w:noVBand="1"/>
      </w:tblPr>
      <w:tblGrid>
        <w:gridCol w:w="1552"/>
        <w:gridCol w:w="8348"/>
      </w:tblGrid>
      <w:tr w:rsidR="00655858" w:rsidRPr="007F148E" w14:paraId="636DE781" w14:textId="77777777" w:rsidTr="00A618DB">
        <w:trPr>
          <w:trHeight w:val="318"/>
        </w:trPr>
        <w:tc>
          <w:tcPr>
            <w:tcW w:w="1552"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78C619F" w14:textId="77777777" w:rsidR="00655858" w:rsidRPr="007F148E" w:rsidRDefault="00655858" w:rsidP="004D6520">
            <w:pPr>
              <w:jc w:val="center"/>
              <w:rPr>
                <w:rFonts w:cs="Arial"/>
                <w:b/>
                <w:bCs/>
                <w:color w:val="000000"/>
                <w:sz w:val="28"/>
                <w:szCs w:val="28"/>
                <w:lang w:val="en-US"/>
              </w:rPr>
            </w:pPr>
            <w:r w:rsidRPr="007F148E">
              <w:rPr>
                <w:rFonts w:cs="Arial"/>
                <w:b/>
                <w:bCs/>
                <w:color w:val="000000"/>
                <w:sz w:val="28"/>
                <w:szCs w:val="28"/>
                <w:lang w:val="en-US"/>
              </w:rPr>
              <w:t>Role</w:t>
            </w:r>
          </w:p>
        </w:tc>
        <w:tc>
          <w:tcPr>
            <w:tcW w:w="8348" w:type="dxa"/>
            <w:tcBorders>
              <w:top w:val="single" w:sz="8" w:space="0" w:color="auto"/>
              <w:left w:val="nil"/>
              <w:bottom w:val="single" w:sz="8" w:space="0" w:color="auto"/>
              <w:right w:val="single" w:sz="8" w:space="0" w:color="auto"/>
            </w:tcBorders>
            <w:shd w:val="clear" w:color="000000" w:fill="D9D9D9"/>
            <w:noWrap/>
            <w:hideMark/>
          </w:tcPr>
          <w:p w14:paraId="7F89C595" w14:textId="77777777" w:rsidR="00655858" w:rsidRPr="007F148E" w:rsidRDefault="00655858" w:rsidP="004D6520">
            <w:pPr>
              <w:jc w:val="center"/>
              <w:rPr>
                <w:rFonts w:cs="Arial"/>
                <w:b/>
                <w:bCs/>
                <w:color w:val="000000"/>
                <w:sz w:val="28"/>
                <w:szCs w:val="28"/>
                <w:lang w:val="en-US"/>
              </w:rPr>
            </w:pPr>
            <w:r w:rsidRPr="007F148E">
              <w:rPr>
                <w:rFonts w:cs="Arial"/>
                <w:b/>
                <w:bCs/>
                <w:color w:val="000000"/>
                <w:sz w:val="28"/>
                <w:szCs w:val="28"/>
                <w:lang w:val="en-US"/>
              </w:rPr>
              <w:t>Explanation</w:t>
            </w:r>
          </w:p>
        </w:tc>
      </w:tr>
      <w:tr w:rsidR="00655858" w:rsidRPr="007F148E" w14:paraId="03313425" w14:textId="77777777" w:rsidTr="00A618DB">
        <w:trPr>
          <w:trHeight w:val="318"/>
        </w:trPr>
        <w:tc>
          <w:tcPr>
            <w:tcW w:w="1552" w:type="dxa"/>
            <w:tcBorders>
              <w:top w:val="single" w:sz="8" w:space="0" w:color="auto"/>
              <w:left w:val="single" w:sz="8" w:space="0" w:color="auto"/>
              <w:bottom w:val="single" w:sz="8" w:space="0" w:color="auto"/>
              <w:right w:val="single" w:sz="4" w:space="0" w:color="auto"/>
            </w:tcBorders>
            <w:shd w:val="clear" w:color="000000" w:fill="D9D9D9"/>
            <w:vAlign w:val="center"/>
          </w:tcPr>
          <w:p w14:paraId="0A571BCE" w14:textId="77777777" w:rsidR="00655858" w:rsidRPr="007F148E" w:rsidRDefault="00655858" w:rsidP="004D6520">
            <w:pPr>
              <w:jc w:val="center"/>
              <w:rPr>
                <w:rFonts w:cs="Arial"/>
                <w:b/>
                <w:bCs/>
                <w:color w:val="000000"/>
                <w:sz w:val="28"/>
                <w:szCs w:val="28"/>
                <w:lang w:val="en-US"/>
              </w:rPr>
            </w:pPr>
          </w:p>
        </w:tc>
        <w:tc>
          <w:tcPr>
            <w:tcW w:w="8348" w:type="dxa"/>
            <w:tcBorders>
              <w:top w:val="single" w:sz="8" w:space="0" w:color="auto"/>
              <w:left w:val="nil"/>
              <w:bottom w:val="single" w:sz="8" w:space="0" w:color="auto"/>
              <w:right w:val="single" w:sz="8" w:space="0" w:color="auto"/>
            </w:tcBorders>
            <w:shd w:val="clear" w:color="000000" w:fill="D9D9D9"/>
            <w:noWrap/>
          </w:tcPr>
          <w:p w14:paraId="4AD25C71" w14:textId="77777777" w:rsidR="00655858" w:rsidRPr="007F148E" w:rsidRDefault="00655858" w:rsidP="004D6520">
            <w:pPr>
              <w:jc w:val="center"/>
              <w:rPr>
                <w:rFonts w:cs="Arial"/>
                <w:b/>
                <w:bCs/>
                <w:color w:val="000000"/>
                <w:sz w:val="28"/>
                <w:szCs w:val="28"/>
                <w:lang w:val="en-US"/>
              </w:rPr>
            </w:pPr>
          </w:p>
        </w:tc>
      </w:tr>
      <w:tr w:rsidR="00655858" w:rsidRPr="007F148E" w14:paraId="7E665906" w14:textId="77777777" w:rsidTr="00A618DB">
        <w:trPr>
          <w:trHeight w:val="2295"/>
        </w:trPr>
        <w:tc>
          <w:tcPr>
            <w:tcW w:w="1552" w:type="dxa"/>
            <w:vMerge w:val="restart"/>
            <w:tcBorders>
              <w:top w:val="nil"/>
              <w:left w:val="single" w:sz="8" w:space="0" w:color="auto"/>
              <w:bottom w:val="single" w:sz="8" w:space="0" w:color="000000"/>
              <w:right w:val="single" w:sz="4" w:space="0" w:color="auto"/>
            </w:tcBorders>
            <w:vAlign w:val="center"/>
            <w:hideMark/>
          </w:tcPr>
          <w:p w14:paraId="11AA21CC"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Community First Responders (CFR)</w:t>
            </w:r>
          </w:p>
        </w:tc>
        <w:tc>
          <w:tcPr>
            <w:tcW w:w="8348" w:type="dxa"/>
            <w:tcBorders>
              <w:top w:val="nil"/>
              <w:left w:val="nil"/>
              <w:bottom w:val="single" w:sz="4" w:space="0" w:color="auto"/>
              <w:right w:val="single" w:sz="8" w:space="0" w:color="auto"/>
            </w:tcBorders>
            <w:hideMark/>
          </w:tcPr>
          <w:p w14:paraId="46DF44FC" w14:textId="18CF596F" w:rsidR="00655858" w:rsidRPr="007F148E" w:rsidRDefault="00C774C3" w:rsidP="00C74E90">
            <w:pPr>
              <w:rPr>
                <w:rFonts w:cs="Arial"/>
                <w:color w:val="000000"/>
                <w:szCs w:val="24"/>
                <w:lang w:val="en-US"/>
              </w:rPr>
            </w:pPr>
            <w:r>
              <w:t>As a matter of policy “CFRs shall at all times comply with normal road traffic law and may not rely on or seek to rely on any exemptions, whether driving their own vehicle</w:t>
            </w:r>
            <w:r w:rsidRPr="007F148E">
              <w:rPr>
                <w:rFonts w:cs="Arial"/>
                <w:color w:val="000000"/>
                <w:szCs w:val="24"/>
                <w:lang w:val="en-US"/>
              </w:rPr>
              <w:t xml:space="preserve"> </w:t>
            </w:r>
            <w:r w:rsidR="00655858" w:rsidRPr="007F148E">
              <w:rPr>
                <w:rFonts w:cs="Arial"/>
                <w:color w:val="000000"/>
                <w:szCs w:val="24"/>
                <w:lang w:val="en-US"/>
              </w:rPr>
              <w:t>or one owned and operated by the Trust or a community scheme. The purpose of a community based scheme is to allow appropriately trained members of the public to respond to certain clinical calls within their local area. This negates the need to act outside of the normal rules and regulations in force for all road users whilst responding. The</w:t>
            </w:r>
            <w:r w:rsidR="00C74E90">
              <w:rPr>
                <w:rFonts w:cs="Arial"/>
                <w:color w:val="000000"/>
                <w:szCs w:val="24"/>
                <w:lang w:val="en-US"/>
              </w:rPr>
              <w:t xml:space="preserve"> Trust prohibits </w:t>
            </w:r>
            <w:r>
              <w:rPr>
                <w:rFonts w:cs="Arial"/>
                <w:color w:val="000000"/>
                <w:szCs w:val="24"/>
                <w:lang w:val="en-US"/>
              </w:rPr>
              <w:t xml:space="preserve">any </w:t>
            </w:r>
            <w:r w:rsidRPr="007F148E">
              <w:rPr>
                <w:rFonts w:cs="Arial"/>
                <w:color w:val="000000"/>
                <w:szCs w:val="24"/>
                <w:lang w:val="en-US"/>
              </w:rPr>
              <w:t>dispensation</w:t>
            </w:r>
            <w:r w:rsidR="00655858" w:rsidRPr="007F148E">
              <w:rPr>
                <w:rFonts w:cs="Arial"/>
                <w:color w:val="000000"/>
                <w:szCs w:val="24"/>
                <w:lang w:val="en-US"/>
              </w:rPr>
              <w:t xml:space="preserve"> of excessive use of speed, crossing red traffic signals or dangerous parking for example. Any breach of normal road traffic law or associated regulations would be investigated at the appropriate level and reported to Professional Standards. The Trust is extremely unlikely to support any CFR acting outside of normal driving rules and regulations should a prosecution be sought by the authorities following such an event.</w:t>
            </w:r>
          </w:p>
        </w:tc>
      </w:tr>
      <w:tr w:rsidR="00655858" w:rsidRPr="007F148E" w14:paraId="46C31F37" w14:textId="77777777" w:rsidTr="00A618DB">
        <w:trPr>
          <w:trHeight w:val="522"/>
        </w:trPr>
        <w:tc>
          <w:tcPr>
            <w:tcW w:w="1552" w:type="dxa"/>
            <w:vMerge/>
            <w:tcBorders>
              <w:top w:val="nil"/>
              <w:left w:val="single" w:sz="8" w:space="0" w:color="auto"/>
              <w:bottom w:val="single" w:sz="8" w:space="0" w:color="000000"/>
              <w:right w:val="single" w:sz="4" w:space="0" w:color="auto"/>
            </w:tcBorders>
            <w:vAlign w:val="center"/>
            <w:hideMark/>
          </w:tcPr>
          <w:p w14:paraId="37724772"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362BBB74" w14:textId="1D5FC520" w:rsidR="00655858" w:rsidRPr="007F148E" w:rsidRDefault="00655858" w:rsidP="00CF71D8">
            <w:pPr>
              <w:rPr>
                <w:rFonts w:cs="Arial"/>
                <w:color w:val="000000"/>
                <w:szCs w:val="24"/>
                <w:lang w:val="en-US"/>
              </w:rPr>
            </w:pPr>
            <w:r w:rsidRPr="007F148E">
              <w:rPr>
                <w:rFonts w:cs="Arial"/>
                <w:color w:val="000000"/>
                <w:szCs w:val="24"/>
                <w:lang w:val="en-US"/>
              </w:rPr>
              <w:t>Any livery or signage displayed to CFR vehicles must be approved by the Voluntary Services Manager</w:t>
            </w:r>
            <w:r w:rsidR="00CF71D8">
              <w:rPr>
                <w:rFonts w:cs="Arial"/>
                <w:color w:val="000000"/>
                <w:szCs w:val="24"/>
                <w:lang w:val="en-US"/>
              </w:rPr>
              <w:t>)</w:t>
            </w:r>
          </w:p>
        </w:tc>
      </w:tr>
      <w:tr w:rsidR="00655858" w:rsidRPr="007F148E" w14:paraId="5CA4FAAB" w14:textId="77777777" w:rsidTr="00A618DB">
        <w:trPr>
          <w:trHeight w:val="777"/>
        </w:trPr>
        <w:tc>
          <w:tcPr>
            <w:tcW w:w="1552" w:type="dxa"/>
            <w:tcBorders>
              <w:top w:val="nil"/>
              <w:left w:val="single" w:sz="8" w:space="0" w:color="auto"/>
              <w:bottom w:val="single" w:sz="8" w:space="0" w:color="auto"/>
              <w:right w:val="single" w:sz="4" w:space="0" w:color="auto"/>
            </w:tcBorders>
            <w:vAlign w:val="center"/>
            <w:hideMark/>
          </w:tcPr>
          <w:p w14:paraId="46916529"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Other qualified persons driving SECAmb frontline vehicles</w:t>
            </w:r>
          </w:p>
        </w:tc>
        <w:tc>
          <w:tcPr>
            <w:tcW w:w="8348" w:type="dxa"/>
            <w:tcBorders>
              <w:top w:val="nil"/>
              <w:left w:val="nil"/>
              <w:bottom w:val="single" w:sz="8" w:space="0" w:color="auto"/>
              <w:right w:val="single" w:sz="8" w:space="0" w:color="auto"/>
            </w:tcBorders>
            <w:hideMark/>
          </w:tcPr>
          <w:p w14:paraId="52E2AA1D" w14:textId="77777777" w:rsidR="00655858" w:rsidRPr="007F148E" w:rsidRDefault="00655858" w:rsidP="004D6520">
            <w:pPr>
              <w:rPr>
                <w:rFonts w:cs="Arial"/>
                <w:color w:val="000000"/>
                <w:szCs w:val="24"/>
                <w:lang w:val="en-US"/>
              </w:rPr>
            </w:pPr>
            <w:r w:rsidRPr="007F148E">
              <w:rPr>
                <w:rFonts w:cs="Arial"/>
                <w:color w:val="000000"/>
                <w:szCs w:val="24"/>
                <w:lang w:val="en-US"/>
              </w:rPr>
              <w:t>The following advice has been disseminated to clarify who is permitted, authorised and insured to drive SECAmb front line vehicles from scene to hospital following attendance at certain medical emergencies.</w:t>
            </w:r>
          </w:p>
        </w:tc>
      </w:tr>
      <w:tr w:rsidR="00346B09" w:rsidRPr="007F148E" w14:paraId="047B5283" w14:textId="77777777" w:rsidTr="00A618DB">
        <w:trPr>
          <w:trHeight w:val="1019"/>
        </w:trPr>
        <w:tc>
          <w:tcPr>
            <w:tcW w:w="1552" w:type="dxa"/>
            <w:vMerge w:val="restart"/>
            <w:tcBorders>
              <w:top w:val="nil"/>
              <w:left w:val="single" w:sz="8" w:space="0" w:color="auto"/>
              <w:bottom w:val="single" w:sz="8" w:space="0" w:color="000000"/>
              <w:right w:val="single" w:sz="4" w:space="0" w:color="auto"/>
            </w:tcBorders>
            <w:vAlign w:val="center"/>
            <w:hideMark/>
          </w:tcPr>
          <w:p w14:paraId="40314DAF" w14:textId="5B2A3A47" w:rsidR="00346B09" w:rsidRPr="007F148E" w:rsidRDefault="00346B09" w:rsidP="00346B09">
            <w:pPr>
              <w:jc w:val="center"/>
              <w:rPr>
                <w:rFonts w:cs="Arial"/>
                <w:color w:val="000000"/>
                <w:szCs w:val="24"/>
                <w:lang w:val="en-US"/>
              </w:rPr>
            </w:pPr>
            <w:r>
              <w:rPr>
                <w:rFonts w:cs="Arial"/>
                <w:color w:val="000000"/>
                <w:szCs w:val="24"/>
                <w:lang w:val="en-US"/>
              </w:rPr>
              <w:t>Staff from other NHS Ambulance Services</w:t>
            </w:r>
          </w:p>
        </w:tc>
        <w:tc>
          <w:tcPr>
            <w:tcW w:w="8348" w:type="dxa"/>
            <w:tcBorders>
              <w:top w:val="nil"/>
              <w:left w:val="nil"/>
              <w:bottom w:val="single" w:sz="4" w:space="0" w:color="auto"/>
              <w:right w:val="single" w:sz="8" w:space="0" w:color="auto"/>
            </w:tcBorders>
            <w:hideMark/>
          </w:tcPr>
          <w:p w14:paraId="3E7E0B11" w14:textId="7538A7E4" w:rsidR="00346B09" w:rsidRPr="007F148E" w:rsidRDefault="00346B09" w:rsidP="00346B09">
            <w:pPr>
              <w:rPr>
                <w:rFonts w:cs="Arial"/>
                <w:color w:val="000000"/>
                <w:szCs w:val="24"/>
                <w:lang w:val="en-US"/>
              </w:rPr>
            </w:pPr>
            <w:r w:rsidRPr="007F148E">
              <w:rPr>
                <w:rFonts w:cs="Arial"/>
                <w:color w:val="000000"/>
                <w:szCs w:val="24"/>
                <w:lang w:val="en-US"/>
              </w:rPr>
              <w:t>The vast majority of NHS Ambulance Service Trust vehicles are covered by motor insurance provided by the same insurer, QBE. These policies are also subject to predominantly the same terms and conditions and in addition to this assurance, all NHS frontline staff hold the IHCD D1 D2</w:t>
            </w:r>
            <w:r>
              <w:rPr>
                <w:rFonts w:cs="Arial"/>
                <w:color w:val="000000"/>
                <w:szCs w:val="24"/>
                <w:lang w:val="en-US"/>
              </w:rPr>
              <w:t xml:space="preserve"> or the L3CERAD</w:t>
            </w:r>
            <w:r w:rsidRPr="007F148E">
              <w:rPr>
                <w:rFonts w:cs="Arial"/>
                <w:color w:val="000000"/>
                <w:szCs w:val="24"/>
                <w:lang w:val="en-US"/>
              </w:rPr>
              <w:t xml:space="preserve"> driving qualification and have therefore attained the required standard.</w:t>
            </w:r>
          </w:p>
        </w:tc>
      </w:tr>
      <w:tr w:rsidR="00346B09" w:rsidRPr="007F148E" w14:paraId="172BF299" w14:textId="77777777" w:rsidTr="00A618DB">
        <w:trPr>
          <w:trHeight w:val="1019"/>
        </w:trPr>
        <w:tc>
          <w:tcPr>
            <w:tcW w:w="1552" w:type="dxa"/>
            <w:vMerge/>
            <w:tcBorders>
              <w:top w:val="nil"/>
              <w:left w:val="single" w:sz="8" w:space="0" w:color="auto"/>
              <w:bottom w:val="single" w:sz="8" w:space="0" w:color="000000"/>
              <w:right w:val="single" w:sz="4" w:space="0" w:color="auto"/>
            </w:tcBorders>
            <w:vAlign w:val="center"/>
            <w:hideMark/>
          </w:tcPr>
          <w:p w14:paraId="0A191C12" w14:textId="77777777" w:rsidR="00346B09" w:rsidRPr="007F148E" w:rsidRDefault="00346B09" w:rsidP="00346B09">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0056A606" w14:textId="4AC5B446" w:rsidR="00346B09" w:rsidRPr="007F148E" w:rsidRDefault="00346B09" w:rsidP="00346B09">
            <w:pPr>
              <w:rPr>
                <w:rFonts w:cs="Arial"/>
                <w:color w:val="000000"/>
                <w:szCs w:val="24"/>
                <w:lang w:val="en-US"/>
              </w:rPr>
            </w:pPr>
            <w:r>
              <w:rPr>
                <w:rFonts w:cs="Arial"/>
                <w:color w:val="000000"/>
                <w:szCs w:val="24"/>
                <w:lang w:val="en-US"/>
              </w:rPr>
              <w:t xml:space="preserve"> SECAMB </w:t>
            </w:r>
            <w:r w:rsidRPr="007F148E">
              <w:rPr>
                <w:rFonts w:cs="Arial"/>
                <w:color w:val="000000"/>
                <w:szCs w:val="24"/>
                <w:lang w:val="en-US"/>
              </w:rPr>
              <w:t>permits other qualified front line NHS ambulance staff to drive our vehicles should the situation leave no other reasonable option and the patient’s condition could be adversely effected were they not to do so. The following criteria must have been met to the satisfaction of the senior most SECAmb person on scene at the time, or as instructed by EOC;</w:t>
            </w:r>
          </w:p>
        </w:tc>
      </w:tr>
      <w:tr w:rsidR="00655858" w:rsidRPr="007F148E" w14:paraId="4A28EEB0"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0C0696D4"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73D4EA2E" w14:textId="77777777" w:rsidR="00655858" w:rsidRPr="007F148E" w:rsidRDefault="00655858" w:rsidP="004D6520">
            <w:pPr>
              <w:rPr>
                <w:rFonts w:cs="Arial"/>
                <w:color w:val="000000"/>
                <w:szCs w:val="24"/>
                <w:lang w:val="en-US"/>
              </w:rPr>
            </w:pPr>
            <w:r w:rsidRPr="007F148E">
              <w:rPr>
                <w:rFonts w:cs="Arial"/>
                <w:color w:val="000000"/>
                <w:szCs w:val="24"/>
                <w:lang w:val="en-US"/>
              </w:rPr>
              <w:t>i) the member of staff being asked to drive the vehicle holds the appropriate licence (verbal confirmation required)</w:t>
            </w:r>
          </w:p>
        </w:tc>
      </w:tr>
      <w:tr w:rsidR="00655858" w:rsidRPr="007F148E" w14:paraId="59FDA9AE"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1F59AB48"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E0CBEB9" w14:textId="77777777" w:rsidR="00655858" w:rsidRPr="007F148E" w:rsidRDefault="00655858" w:rsidP="004D6520">
            <w:pPr>
              <w:rPr>
                <w:rFonts w:cs="Arial"/>
                <w:color w:val="000000"/>
                <w:szCs w:val="24"/>
                <w:lang w:val="en-US"/>
              </w:rPr>
            </w:pPr>
            <w:r w:rsidRPr="007F148E">
              <w:rPr>
                <w:rFonts w:cs="Arial"/>
                <w:color w:val="000000"/>
                <w:szCs w:val="24"/>
                <w:lang w:val="en-US"/>
              </w:rPr>
              <w:t>ii) the member of staff being asked to drive holds the appropriate qualification within their Trust to drive under the conditions required, normal or emergency (verbal confirmation required)</w:t>
            </w:r>
          </w:p>
        </w:tc>
      </w:tr>
      <w:tr w:rsidR="00655858" w:rsidRPr="007F148E" w14:paraId="48C425EC"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3635651"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4F36706" w14:textId="77777777" w:rsidR="00655858" w:rsidRPr="007F148E" w:rsidRDefault="00655858" w:rsidP="004D6520">
            <w:pPr>
              <w:rPr>
                <w:rFonts w:cs="Arial"/>
                <w:color w:val="000000"/>
                <w:szCs w:val="24"/>
                <w:lang w:val="en-US"/>
              </w:rPr>
            </w:pPr>
            <w:r w:rsidRPr="007F148E">
              <w:rPr>
                <w:rFonts w:cs="Arial"/>
                <w:color w:val="000000"/>
                <w:szCs w:val="24"/>
                <w:lang w:val="en-US"/>
              </w:rPr>
              <w:t>iii) the member of staff being asked to drive the vehicle is familiar with the vehicle controls and happy to assist as requested (verbal confirmation required)</w:t>
            </w:r>
          </w:p>
        </w:tc>
      </w:tr>
      <w:tr w:rsidR="00655858" w:rsidRPr="007F148E" w14:paraId="5477ACE9"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27EFB949"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32A3E43C"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4E05413B"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0E313BB1"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1CBAF00" w14:textId="77777777" w:rsidR="00655858" w:rsidRPr="007F148E" w:rsidRDefault="00655858" w:rsidP="004D6520">
            <w:pPr>
              <w:rPr>
                <w:rFonts w:cs="Arial"/>
                <w:color w:val="000000"/>
                <w:szCs w:val="24"/>
                <w:lang w:val="en-US"/>
              </w:rPr>
            </w:pPr>
            <w:r w:rsidRPr="007F148E">
              <w:rPr>
                <w:rFonts w:cs="Arial"/>
                <w:color w:val="000000"/>
                <w:szCs w:val="24"/>
                <w:lang w:val="en-US"/>
              </w:rPr>
              <w:t>v) emergency driving conditions may be employed providing the patient’s condition requires this action</w:t>
            </w:r>
          </w:p>
        </w:tc>
      </w:tr>
      <w:tr w:rsidR="00655858" w:rsidRPr="007F148E" w14:paraId="6306FDCA"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AA4510C"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CC60051" w14:textId="77777777" w:rsidR="00655858" w:rsidRPr="007F148E" w:rsidRDefault="00655858" w:rsidP="004D6520">
            <w:pPr>
              <w:rPr>
                <w:rFonts w:cs="Arial"/>
                <w:color w:val="000000"/>
                <w:szCs w:val="24"/>
                <w:lang w:val="en-US"/>
              </w:rPr>
            </w:pPr>
            <w:r w:rsidRPr="007F148E">
              <w:rPr>
                <w:rFonts w:cs="Arial"/>
                <w:color w:val="000000"/>
                <w:szCs w:val="24"/>
                <w:lang w:val="en-US"/>
              </w:rPr>
              <w:t>vi) normal driving conditions must be employed for all other journeys</w:t>
            </w:r>
          </w:p>
        </w:tc>
      </w:tr>
      <w:tr w:rsidR="00655858" w:rsidRPr="007F148E" w14:paraId="414F7F59" w14:textId="77777777" w:rsidTr="00A618DB">
        <w:trPr>
          <w:trHeight w:val="777"/>
        </w:trPr>
        <w:tc>
          <w:tcPr>
            <w:tcW w:w="1552" w:type="dxa"/>
            <w:vMerge/>
            <w:tcBorders>
              <w:top w:val="nil"/>
              <w:left w:val="single" w:sz="8" w:space="0" w:color="auto"/>
              <w:bottom w:val="single" w:sz="8" w:space="0" w:color="000000"/>
              <w:right w:val="single" w:sz="4" w:space="0" w:color="auto"/>
            </w:tcBorders>
            <w:vAlign w:val="center"/>
            <w:hideMark/>
          </w:tcPr>
          <w:p w14:paraId="1E430A79"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0CF58081" w14:textId="6E1FA793" w:rsidR="00655858" w:rsidRPr="007F148E" w:rsidRDefault="00905094" w:rsidP="00905094">
            <w:pPr>
              <w:rPr>
                <w:rFonts w:cs="Arial"/>
                <w:color w:val="000000"/>
                <w:szCs w:val="24"/>
                <w:lang w:val="en-US"/>
              </w:rPr>
            </w:pPr>
            <w:r>
              <w:rPr>
                <w:rFonts w:cs="Arial"/>
                <w:color w:val="000000"/>
                <w:szCs w:val="24"/>
                <w:lang w:val="en-US"/>
              </w:rPr>
              <w:t>T</w:t>
            </w:r>
            <w:r w:rsidR="00655858" w:rsidRPr="007F148E">
              <w:rPr>
                <w:rFonts w:cs="Arial"/>
                <w:color w:val="000000"/>
                <w:szCs w:val="24"/>
                <w:lang w:val="en-US"/>
              </w:rPr>
              <w:t xml:space="preserve">he patient carrying vehicle </w:t>
            </w:r>
            <w:r>
              <w:rPr>
                <w:rFonts w:cs="Arial"/>
                <w:color w:val="000000"/>
                <w:szCs w:val="24"/>
                <w:lang w:val="en-US"/>
              </w:rPr>
              <w:t xml:space="preserve">may be able </w:t>
            </w:r>
            <w:r w:rsidR="00CE5961">
              <w:rPr>
                <w:rFonts w:cs="Arial"/>
                <w:color w:val="000000"/>
                <w:szCs w:val="24"/>
                <w:lang w:val="en-US"/>
              </w:rPr>
              <w:t xml:space="preserve">to </w:t>
            </w:r>
            <w:r w:rsidR="00CE5961" w:rsidRPr="007F148E">
              <w:rPr>
                <w:rFonts w:cs="Arial"/>
                <w:color w:val="000000"/>
                <w:szCs w:val="24"/>
                <w:lang w:val="en-US"/>
              </w:rPr>
              <w:t>claim</w:t>
            </w:r>
            <w:r w:rsidR="00655858" w:rsidRPr="007F148E">
              <w:rPr>
                <w:rFonts w:cs="Arial"/>
                <w:color w:val="000000"/>
                <w:szCs w:val="24"/>
                <w:lang w:val="en-US"/>
              </w:rPr>
              <w:t xml:space="preserve"> emergency driving exemptions from scene to the required destination. Any vehicles that are not engaged in emergency patient movement </w:t>
            </w:r>
            <w:r>
              <w:rPr>
                <w:rFonts w:cs="Arial"/>
                <w:color w:val="000000"/>
                <w:szCs w:val="24"/>
                <w:lang w:val="en-US"/>
              </w:rPr>
              <w:t xml:space="preserve">or treatment </w:t>
            </w:r>
            <w:r w:rsidR="00655858" w:rsidRPr="007F148E">
              <w:rPr>
                <w:rFonts w:cs="Arial"/>
                <w:color w:val="000000"/>
                <w:szCs w:val="24"/>
                <w:lang w:val="en-US"/>
              </w:rPr>
              <w:t>must be driven to chosen destination under normal driving conditions and the original crews repatriated with their vehicles.</w:t>
            </w:r>
          </w:p>
        </w:tc>
      </w:tr>
      <w:tr w:rsidR="00655858" w:rsidRPr="007F148E" w14:paraId="272E44F8"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21D552CC"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Private Ambulance Providers</w:t>
            </w:r>
          </w:p>
        </w:tc>
        <w:tc>
          <w:tcPr>
            <w:tcW w:w="8348" w:type="dxa"/>
            <w:tcBorders>
              <w:top w:val="nil"/>
              <w:left w:val="nil"/>
              <w:bottom w:val="single" w:sz="4" w:space="0" w:color="auto"/>
              <w:right w:val="single" w:sz="8" w:space="0" w:color="auto"/>
            </w:tcBorders>
            <w:hideMark/>
          </w:tcPr>
          <w:p w14:paraId="0FD6314E" w14:textId="77777777" w:rsidR="00655858" w:rsidRPr="007F148E" w:rsidRDefault="00655858" w:rsidP="004D6520">
            <w:pPr>
              <w:rPr>
                <w:rFonts w:cs="Arial"/>
                <w:color w:val="000000"/>
                <w:szCs w:val="24"/>
                <w:lang w:val="en-US"/>
              </w:rPr>
            </w:pPr>
            <w:r w:rsidRPr="007F148E">
              <w:rPr>
                <w:rFonts w:cs="Arial"/>
                <w:color w:val="000000"/>
                <w:szCs w:val="24"/>
                <w:lang w:val="en-US"/>
              </w:rPr>
              <w:t>Should the situation arise where it would be operationally beneficial for a Private Ambulance Provider staff member to drive a SECAmb vehicle from scene to hospital in order to allow essential patient care from more senior clinicians in attendance, this can only be permitted providing the following criteria has been satisfied;</w:t>
            </w:r>
          </w:p>
        </w:tc>
      </w:tr>
      <w:tr w:rsidR="00655858" w:rsidRPr="007F148E" w14:paraId="22D6F635"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3518AA72"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0E4FB4C7" w14:textId="77777777" w:rsidR="00655858" w:rsidRPr="007F148E" w:rsidRDefault="00655858" w:rsidP="004D6520">
            <w:pPr>
              <w:rPr>
                <w:rFonts w:cs="Arial"/>
                <w:color w:val="000000"/>
                <w:szCs w:val="24"/>
                <w:lang w:val="en-US"/>
              </w:rPr>
            </w:pPr>
            <w:r w:rsidRPr="007F148E">
              <w:rPr>
                <w:rFonts w:cs="Arial"/>
                <w:color w:val="000000"/>
                <w:szCs w:val="24"/>
                <w:lang w:val="en-US"/>
              </w:rPr>
              <w:t>the member of staff being asked to drive the vehicle holds the appropriate C1 licence (verbal confirmation required)</w:t>
            </w:r>
          </w:p>
        </w:tc>
      </w:tr>
      <w:tr w:rsidR="004D6520" w:rsidRPr="007F148E" w14:paraId="77DCB61B"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2BB026C6" w14:textId="77777777" w:rsidR="004D6520" w:rsidRPr="007F148E" w:rsidRDefault="004D6520"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FCC3367" w14:textId="547E29BE" w:rsidR="004D6520" w:rsidRPr="007F148E" w:rsidRDefault="004D6520" w:rsidP="004D6520">
            <w:pPr>
              <w:rPr>
                <w:rFonts w:cs="Arial"/>
                <w:color w:val="000000"/>
                <w:szCs w:val="24"/>
                <w:lang w:val="en-US"/>
              </w:rPr>
            </w:pPr>
            <w:r w:rsidRPr="007F148E">
              <w:rPr>
                <w:rFonts w:cs="Arial"/>
                <w:color w:val="000000"/>
                <w:szCs w:val="24"/>
                <w:lang w:val="en-US"/>
              </w:rPr>
              <w:t>ii) the member of staff being asked to drive attained their IHCD D1 D2</w:t>
            </w:r>
            <w:r>
              <w:rPr>
                <w:rFonts w:cs="Arial"/>
                <w:color w:val="000000"/>
                <w:szCs w:val="24"/>
                <w:lang w:val="en-US"/>
              </w:rPr>
              <w:t xml:space="preserve"> o</w:t>
            </w:r>
            <w:r w:rsidR="00D85A88">
              <w:rPr>
                <w:rFonts w:cs="Arial"/>
                <w:color w:val="000000"/>
                <w:szCs w:val="24"/>
                <w:lang w:val="en-US"/>
              </w:rPr>
              <w:t>r</w:t>
            </w:r>
            <w:r>
              <w:rPr>
                <w:rFonts w:cs="Arial"/>
                <w:color w:val="000000"/>
                <w:szCs w:val="24"/>
                <w:lang w:val="en-US"/>
              </w:rPr>
              <w:t xml:space="preserve"> L3CERAD</w:t>
            </w:r>
            <w:r w:rsidRPr="007F148E">
              <w:rPr>
                <w:rFonts w:cs="Arial"/>
                <w:color w:val="000000"/>
                <w:szCs w:val="24"/>
                <w:lang w:val="en-US"/>
              </w:rPr>
              <w:t xml:space="preserve"> qualification in a C1 vehicle (verbal confirmation required)</w:t>
            </w:r>
          </w:p>
        </w:tc>
      </w:tr>
      <w:tr w:rsidR="00655858" w:rsidRPr="007F148E" w14:paraId="6F9065FE"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694312C8"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D346EED" w14:textId="77777777" w:rsidR="00655858" w:rsidRPr="007F148E" w:rsidRDefault="00655858" w:rsidP="004D6520">
            <w:pPr>
              <w:rPr>
                <w:rFonts w:cs="Arial"/>
                <w:color w:val="000000"/>
                <w:szCs w:val="24"/>
                <w:lang w:val="en-US"/>
              </w:rPr>
            </w:pPr>
            <w:r w:rsidRPr="007F148E">
              <w:rPr>
                <w:rFonts w:cs="Arial"/>
                <w:color w:val="000000"/>
                <w:szCs w:val="24"/>
                <w:lang w:val="en-US"/>
              </w:rPr>
              <w:t>iii) the member of staff being asked to drive the vehicle is familiar with the vehicle controls and happy to assist as requested (verbal confirmation required)</w:t>
            </w:r>
          </w:p>
        </w:tc>
      </w:tr>
      <w:tr w:rsidR="00655858" w:rsidRPr="007F148E" w14:paraId="4F3CC006"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11A5B0B2"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C78540A"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15F7F747"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689F8F74"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C4F36D9" w14:textId="77777777" w:rsidR="00655858" w:rsidRPr="007F148E" w:rsidRDefault="00655858" w:rsidP="004D6520">
            <w:pPr>
              <w:rPr>
                <w:rFonts w:cs="Arial"/>
                <w:color w:val="000000"/>
                <w:szCs w:val="24"/>
                <w:lang w:val="en-US"/>
              </w:rPr>
            </w:pPr>
            <w:r w:rsidRPr="007F148E">
              <w:rPr>
                <w:rFonts w:cs="Arial"/>
                <w:color w:val="000000"/>
                <w:szCs w:val="24"/>
                <w:lang w:val="en-US"/>
              </w:rPr>
              <w:t>v) emergency driving conditions may be employed providing the patient’s condition requires this action</w:t>
            </w:r>
          </w:p>
        </w:tc>
      </w:tr>
      <w:tr w:rsidR="00655858" w:rsidRPr="007F148E" w14:paraId="65B8FC5C" w14:textId="77777777" w:rsidTr="00A618DB">
        <w:trPr>
          <w:trHeight w:val="267"/>
        </w:trPr>
        <w:tc>
          <w:tcPr>
            <w:tcW w:w="1552" w:type="dxa"/>
            <w:vMerge/>
            <w:tcBorders>
              <w:top w:val="nil"/>
              <w:left w:val="single" w:sz="8" w:space="0" w:color="auto"/>
              <w:bottom w:val="single" w:sz="8" w:space="0" w:color="000000"/>
              <w:right w:val="single" w:sz="4" w:space="0" w:color="auto"/>
            </w:tcBorders>
            <w:vAlign w:val="center"/>
            <w:hideMark/>
          </w:tcPr>
          <w:p w14:paraId="64D62D77"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079B23CC" w14:textId="77777777" w:rsidR="00655858" w:rsidRPr="007F148E" w:rsidRDefault="00655858" w:rsidP="004D6520">
            <w:pPr>
              <w:rPr>
                <w:rFonts w:cs="Arial"/>
                <w:color w:val="000000"/>
                <w:szCs w:val="24"/>
                <w:lang w:val="en-US"/>
              </w:rPr>
            </w:pPr>
            <w:r w:rsidRPr="007F148E">
              <w:rPr>
                <w:rFonts w:cs="Arial"/>
                <w:color w:val="000000"/>
                <w:szCs w:val="24"/>
                <w:lang w:val="en-US"/>
              </w:rPr>
              <w:t>vi) normal driving conditions must be employed for all other journeys</w:t>
            </w:r>
          </w:p>
        </w:tc>
      </w:tr>
      <w:tr w:rsidR="00655858" w:rsidRPr="007F148E" w14:paraId="05DC69ED"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04B6388E"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Police Officers</w:t>
            </w:r>
          </w:p>
        </w:tc>
        <w:tc>
          <w:tcPr>
            <w:tcW w:w="8348" w:type="dxa"/>
            <w:tcBorders>
              <w:top w:val="nil"/>
              <w:left w:val="nil"/>
              <w:bottom w:val="single" w:sz="4" w:space="0" w:color="auto"/>
              <w:right w:val="single" w:sz="8" w:space="0" w:color="auto"/>
            </w:tcBorders>
            <w:hideMark/>
          </w:tcPr>
          <w:p w14:paraId="5DA45EF9" w14:textId="77777777" w:rsidR="00655858" w:rsidRPr="007F148E" w:rsidRDefault="00655858" w:rsidP="004D6520">
            <w:pPr>
              <w:rPr>
                <w:rFonts w:cs="Arial"/>
                <w:color w:val="000000"/>
                <w:szCs w:val="24"/>
                <w:lang w:val="en-US"/>
              </w:rPr>
            </w:pPr>
            <w:r w:rsidRPr="007F148E">
              <w:rPr>
                <w:rFonts w:cs="Arial"/>
                <w:color w:val="000000"/>
                <w:szCs w:val="24"/>
                <w:lang w:val="en-US"/>
              </w:rPr>
              <w:t>Should it be operationally advantageous for a Police Officer to drive a Trust DCA from scene to hospital in order to allow essential patient care, and they are willing to assist in this activity, the following checks must be made;</w:t>
            </w:r>
          </w:p>
        </w:tc>
      </w:tr>
      <w:tr w:rsidR="00655858" w:rsidRPr="007F148E" w14:paraId="38CD5282"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73D8590D"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DDD2B27" w14:textId="77777777" w:rsidR="00655858" w:rsidRPr="007F148E" w:rsidRDefault="00655858" w:rsidP="004D6520">
            <w:pPr>
              <w:rPr>
                <w:rFonts w:cs="Arial"/>
                <w:color w:val="000000"/>
                <w:szCs w:val="24"/>
                <w:lang w:val="en-US"/>
              </w:rPr>
            </w:pPr>
            <w:r w:rsidRPr="007F148E">
              <w:rPr>
                <w:rFonts w:cs="Arial"/>
                <w:color w:val="000000"/>
                <w:szCs w:val="24"/>
                <w:lang w:val="en-US"/>
              </w:rPr>
              <w:t>i) the Officer holds the appropriate licence (verbal confirmation required)</w:t>
            </w:r>
          </w:p>
        </w:tc>
      </w:tr>
      <w:tr w:rsidR="00655858" w:rsidRPr="007F148E" w14:paraId="7815A4B1"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7E308D0"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BD5E743" w14:textId="77777777" w:rsidR="00655858" w:rsidRPr="007F148E" w:rsidRDefault="00655858" w:rsidP="004D6520">
            <w:pPr>
              <w:rPr>
                <w:rFonts w:cs="Arial"/>
                <w:color w:val="000000"/>
                <w:szCs w:val="24"/>
                <w:lang w:val="en-US"/>
              </w:rPr>
            </w:pPr>
            <w:r w:rsidRPr="007F148E">
              <w:rPr>
                <w:rFonts w:cs="Arial"/>
                <w:color w:val="000000"/>
                <w:szCs w:val="24"/>
                <w:lang w:val="en-US"/>
              </w:rPr>
              <w:t>ii) the Officer has cleared the action with their control centre</w:t>
            </w:r>
          </w:p>
        </w:tc>
      </w:tr>
      <w:tr w:rsidR="00655858" w:rsidRPr="007F148E" w14:paraId="555D747A"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15C12B5"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7446A60F" w14:textId="77777777" w:rsidR="00655858" w:rsidRPr="007F148E" w:rsidRDefault="00655858" w:rsidP="004D6520">
            <w:pPr>
              <w:rPr>
                <w:rFonts w:cs="Arial"/>
                <w:color w:val="000000"/>
                <w:szCs w:val="24"/>
                <w:lang w:val="en-US"/>
              </w:rPr>
            </w:pPr>
            <w:r w:rsidRPr="007F148E">
              <w:rPr>
                <w:rFonts w:cs="Arial"/>
                <w:color w:val="000000"/>
                <w:szCs w:val="24"/>
                <w:lang w:val="en-US"/>
              </w:rPr>
              <w:t>iii) the Officer being asked to drive the vehicle is familiar with the vehicle controls and are happy to assist as requested (verbal confirmation required)</w:t>
            </w:r>
          </w:p>
        </w:tc>
      </w:tr>
      <w:tr w:rsidR="00655858" w:rsidRPr="007F148E" w14:paraId="466D9DC6"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D4A3CDD"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240DF49B"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74933D0A"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764A88FF"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24769733" w14:textId="77777777" w:rsidR="00655858" w:rsidRPr="0082309D" w:rsidRDefault="00655858" w:rsidP="004D6520">
            <w:pPr>
              <w:jc w:val="center"/>
              <w:rPr>
                <w:rFonts w:cs="Arial"/>
                <w:b/>
                <w:bCs/>
                <w:szCs w:val="24"/>
                <w:highlight w:val="yellow"/>
                <w:lang w:val="en-US"/>
              </w:rPr>
            </w:pPr>
            <w:r w:rsidRPr="00CE5961">
              <w:rPr>
                <w:rFonts w:cs="Arial"/>
                <w:b/>
                <w:bCs/>
                <w:szCs w:val="24"/>
                <w:lang w:val="en-US"/>
              </w:rPr>
              <w:t>Where the above has been confirmed, normal driving conditions will apply, no emergency driving conditions are permitted for these journeys.</w:t>
            </w:r>
          </w:p>
        </w:tc>
      </w:tr>
      <w:tr w:rsidR="00655858" w:rsidRPr="007F148E" w14:paraId="6CAAFDCA"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4F99ADB4" w14:textId="77777777" w:rsidR="00655858" w:rsidRPr="007F148E" w:rsidRDefault="00655858" w:rsidP="004D6520">
            <w:pPr>
              <w:jc w:val="center"/>
              <w:rPr>
                <w:rFonts w:cs="Arial"/>
                <w:szCs w:val="24"/>
                <w:lang w:val="en-US"/>
              </w:rPr>
            </w:pPr>
            <w:r w:rsidRPr="007F148E">
              <w:rPr>
                <w:rFonts w:cs="Arial"/>
                <w:szCs w:val="24"/>
                <w:lang w:val="en-US"/>
              </w:rPr>
              <w:t>St John (SJA) and British Red Cross (BRC)</w:t>
            </w:r>
          </w:p>
        </w:tc>
        <w:tc>
          <w:tcPr>
            <w:tcW w:w="8348" w:type="dxa"/>
            <w:tcBorders>
              <w:top w:val="nil"/>
              <w:left w:val="nil"/>
              <w:bottom w:val="single" w:sz="4" w:space="0" w:color="auto"/>
              <w:right w:val="single" w:sz="8" w:space="0" w:color="auto"/>
            </w:tcBorders>
            <w:hideMark/>
          </w:tcPr>
          <w:p w14:paraId="55A9C302" w14:textId="77777777" w:rsidR="00655858" w:rsidRPr="007F148E" w:rsidRDefault="00655858" w:rsidP="004D6520">
            <w:pPr>
              <w:rPr>
                <w:rFonts w:cs="Arial"/>
                <w:szCs w:val="24"/>
                <w:lang w:val="en-US"/>
              </w:rPr>
            </w:pPr>
            <w:r w:rsidRPr="007F148E">
              <w:rPr>
                <w:rFonts w:cs="Arial"/>
                <w:szCs w:val="24"/>
                <w:lang w:val="en-US"/>
              </w:rPr>
              <w:t>Should it be operationally advantageous for a member of SJA or BRC to drive a Trust DCA from scene to hospital in order to allow essential patient care, or vehicle repatriation, and they are willing to assist in this activity, the following checks must be made prior to the journey;</w:t>
            </w:r>
          </w:p>
        </w:tc>
      </w:tr>
      <w:tr w:rsidR="00655858" w:rsidRPr="007F148E" w14:paraId="600847FC" w14:textId="77777777" w:rsidTr="00A618DB">
        <w:trPr>
          <w:trHeight w:val="764"/>
        </w:trPr>
        <w:tc>
          <w:tcPr>
            <w:tcW w:w="1552" w:type="dxa"/>
            <w:vMerge/>
            <w:tcBorders>
              <w:top w:val="nil"/>
              <w:left w:val="single" w:sz="8" w:space="0" w:color="auto"/>
              <w:bottom w:val="single" w:sz="8" w:space="0" w:color="000000"/>
              <w:right w:val="single" w:sz="4" w:space="0" w:color="auto"/>
            </w:tcBorders>
            <w:vAlign w:val="center"/>
            <w:hideMark/>
          </w:tcPr>
          <w:p w14:paraId="76D714F5"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344BEE78" w14:textId="77777777" w:rsidR="00655858" w:rsidRPr="007F148E" w:rsidRDefault="00655858" w:rsidP="004D6520">
            <w:pPr>
              <w:rPr>
                <w:rFonts w:cs="Arial"/>
                <w:szCs w:val="24"/>
                <w:lang w:val="en-US"/>
              </w:rPr>
            </w:pPr>
            <w:r w:rsidRPr="007F148E">
              <w:rPr>
                <w:rFonts w:cs="Arial"/>
                <w:szCs w:val="24"/>
                <w:lang w:val="en-US"/>
              </w:rPr>
              <w:t>i) the person holds the appropriate licence (verbal confirmation required). Note, SJA staff should be carrying their organisations internal driving permit which can be accepted as confirmation as to whether they hold the C1 entitlement required to drive a SECAmb DCA</w:t>
            </w:r>
          </w:p>
        </w:tc>
      </w:tr>
      <w:tr w:rsidR="00655858" w:rsidRPr="007F148E" w14:paraId="7A0C0370"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38BE78F2"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7E32B30D" w14:textId="77777777" w:rsidR="00655858" w:rsidRPr="007F148E" w:rsidRDefault="00655858" w:rsidP="004D6520">
            <w:pPr>
              <w:rPr>
                <w:rFonts w:cs="Arial"/>
                <w:szCs w:val="24"/>
                <w:lang w:val="en-US"/>
              </w:rPr>
            </w:pPr>
            <w:r w:rsidRPr="007F148E">
              <w:rPr>
                <w:rFonts w:cs="Arial"/>
                <w:szCs w:val="24"/>
                <w:lang w:val="en-US"/>
              </w:rPr>
              <w:t>ii) SECAmb staff MUST inform EOC of the decisions made at scene regarding SJA or BRC staff driving a SECAmb vehicle</w:t>
            </w:r>
          </w:p>
        </w:tc>
      </w:tr>
      <w:tr w:rsidR="00655858" w:rsidRPr="007F148E" w14:paraId="2D6CC2A2"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9ECDA7F"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4E8708E3" w14:textId="5764B64D" w:rsidR="00655858" w:rsidRPr="007F148E" w:rsidRDefault="00655858" w:rsidP="004D6520">
            <w:pPr>
              <w:rPr>
                <w:rFonts w:cs="Arial"/>
                <w:szCs w:val="24"/>
                <w:lang w:val="en-US"/>
              </w:rPr>
            </w:pPr>
            <w:r w:rsidRPr="007F148E">
              <w:rPr>
                <w:rFonts w:cs="Arial"/>
                <w:szCs w:val="24"/>
                <w:lang w:val="en-US"/>
              </w:rPr>
              <w:t xml:space="preserve">iii) the person has cleared the action with their control </w:t>
            </w:r>
            <w:r w:rsidR="0094338A" w:rsidRPr="007F148E">
              <w:rPr>
                <w:rFonts w:cs="Arial"/>
                <w:szCs w:val="24"/>
                <w:lang w:val="en-US"/>
              </w:rPr>
              <w:t>center</w:t>
            </w:r>
            <w:r w:rsidRPr="007F148E">
              <w:rPr>
                <w:rFonts w:cs="Arial"/>
                <w:szCs w:val="24"/>
                <w:lang w:val="en-US"/>
              </w:rPr>
              <w:t>, if appropriate</w:t>
            </w:r>
          </w:p>
        </w:tc>
      </w:tr>
      <w:tr w:rsidR="00655858" w:rsidRPr="007F148E" w14:paraId="2CE8B131"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40739658"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2D5B917A" w14:textId="77777777" w:rsidR="00655858" w:rsidRPr="007F148E" w:rsidRDefault="00655858" w:rsidP="004D6520">
            <w:pPr>
              <w:rPr>
                <w:rFonts w:cs="Arial"/>
                <w:szCs w:val="24"/>
                <w:lang w:val="en-US"/>
              </w:rPr>
            </w:pPr>
            <w:r w:rsidRPr="007F148E">
              <w:rPr>
                <w:rFonts w:cs="Arial"/>
                <w:szCs w:val="24"/>
                <w:lang w:val="en-US"/>
              </w:rPr>
              <w:t>iv) the member of staff being asked to drive the vehicle is familiar with the vehicle controls and are happy to assist as requested (verbal confirmation required)</w:t>
            </w:r>
          </w:p>
        </w:tc>
      </w:tr>
      <w:tr w:rsidR="00655858" w:rsidRPr="007F148E" w14:paraId="1C1EFE5F"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5E25D4B"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082204CE" w14:textId="77777777" w:rsidR="00655858" w:rsidRPr="007F148E" w:rsidRDefault="00655858" w:rsidP="004D6520">
            <w:pPr>
              <w:rPr>
                <w:rFonts w:cs="Arial"/>
                <w:szCs w:val="24"/>
                <w:lang w:val="en-US"/>
              </w:rPr>
            </w:pPr>
            <w:r w:rsidRPr="007F148E">
              <w:rPr>
                <w:rFonts w:cs="Arial"/>
                <w:szCs w:val="24"/>
                <w:lang w:val="en-US"/>
              </w:rPr>
              <w:t>v) the member of staff being asked to drive holds the appropriate entitlement within their organisation to drive a vehicle of this type</w:t>
            </w:r>
          </w:p>
        </w:tc>
      </w:tr>
      <w:tr w:rsidR="00655858" w:rsidRPr="007F148E" w14:paraId="360DA5BF"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6C114A71"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6E61B946" w14:textId="77777777" w:rsidR="00655858" w:rsidRPr="007F148E" w:rsidRDefault="00655858" w:rsidP="004D6520">
            <w:pPr>
              <w:rPr>
                <w:rFonts w:cs="Arial"/>
                <w:szCs w:val="24"/>
                <w:lang w:val="en-US"/>
              </w:rPr>
            </w:pPr>
            <w:r w:rsidRPr="007F148E">
              <w:rPr>
                <w:rFonts w:cs="Arial"/>
                <w:szCs w:val="24"/>
                <w:lang w:val="en-US"/>
              </w:rPr>
              <w:t>vi) the patient outcome is likely to be adversely affected if they are not transported to a place of definitive care without delay</w:t>
            </w:r>
          </w:p>
        </w:tc>
      </w:tr>
      <w:tr w:rsidR="00655858" w:rsidRPr="007F148E" w14:paraId="2286CFC8"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449C58D8" w14:textId="77777777" w:rsidR="00655858" w:rsidRPr="007F148E" w:rsidRDefault="00655858" w:rsidP="004D6520">
            <w:pPr>
              <w:rPr>
                <w:rFonts w:cs="Arial"/>
                <w:szCs w:val="24"/>
                <w:lang w:val="en-US"/>
              </w:rPr>
            </w:pPr>
          </w:p>
        </w:tc>
        <w:tc>
          <w:tcPr>
            <w:tcW w:w="8348" w:type="dxa"/>
            <w:tcBorders>
              <w:top w:val="nil"/>
              <w:left w:val="nil"/>
              <w:bottom w:val="single" w:sz="8" w:space="0" w:color="auto"/>
              <w:right w:val="single" w:sz="8" w:space="0" w:color="auto"/>
            </w:tcBorders>
            <w:hideMark/>
          </w:tcPr>
          <w:p w14:paraId="3D0922BF" w14:textId="77777777" w:rsidR="00655858" w:rsidRPr="00CE5961" w:rsidRDefault="00655858" w:rsidP="004D6520">
            <w:pPr>
              <w:jc w:val="center"/>
              <w:rPr>
                <w:rFonts w:cs="Arial"/>
                <w:b/>
                <w:bCs/>
                <w:szCs w:val="24"/>
                <w:lang w:val="en-US"/>
              </w:rPr>
            </w:pPr>
            <w:r w:rsidRPr="00CE5961">
              <w:rPr>
                <w:rFonts w:cs="Arial"/>
                <w:b/>
                <w:bCs/>
                <w:szCs w:val="24"/>
                <w:lang w:val="en-US"/>
              </w:rPr>
              <w:t>Where the above has been confirmed, normal driving conditions will apply, no emergency driving conditions are permitted for these journeys.</w:t>
            </w:r>
          </w:p>
        </w:tc>
      </w:tr>
      <w:tr w:rsidR="00655858" w:rsidRPr="007F148E" w14:paraId="10EC4269" w14:textId="77777777" w:rsidTr="00A618DB">
        <w:trPr>
          <w:trHeight w:val="509"/>
        </w:trPr>
        <w:tc>
          <w:tcPr>
            <w:tcW w:w="1552" w:type="dxa"/>
            <w:vMerge w:val="restart"/>
            <w:tcBorders>
              <w:top w:val="nil"/>
              <w:left w:val="single" w:sz="8" w:space="0" w:color="auto"/>
              <w:bottom w:val="single" w:sz="8" w:space="0" w:color="000000"/>
              <w:right w:val="single" w:sz="4" w:space="0" w:color="auto"/>
            </w:tcBorders>
            <w:vAlign w:val="center"/>
            <w:hideMark/>
          </w:tcPr>
          <w:p w14:paraId="28DDEFB1" w14:textId="77777777" w:rsidR="00655858" w:rsidRPr="007F148E" w:rsidRDefault="00655858" w:rsidP="004D6520">
            <w:pPr>
              <w:jc w:val="center"/>
              <w:rPr>
                <w:rFonts w:cs="Arial"/>
                <w:szCs w:val="24"/>
                <w:lang w:val="en-US"/>
              </w:rPr>
            </w:pPr>
            <w:r w:rsidRPr="007F148E">
              <w:rPr>
                <w:rFonts w:cs="Arial"/>
                <w:szCs w:val="24"/>
                <w:lang w:val="en-US"/>
              </w:rPr>
              <w:t>Military Responder Scheme</w:t>
            </w:r>
          </w:p>
        </w:tc>
        <w:tc>
          <w:tcPr>
            <w:tcW w:w="8348" w:type="dxa"/>
            <w:tcBorders>
              <w:top w:val="nil"/>
              <w:left w:val="nil"/>
              <w:bottom w:val="single" w:sz="4" w:space="0" w:color="auto"/>
              <w:right w:val="single" w:sz="8" w:space="0" w:color="auto"/>
            </w:tcBorders>
            <w:hideMark/>
          </w:tcPr>
          <w:p w14:paraId="65413071" w14:textId="19BC0D03" w:rsidR="00655858" w:rsidRPr="00CE5961" w:rsidRDefault="00CE5961" w:rsidP="00CE5961">
            <w:pPr>
              <w:rPr>
                <w:rFonts w:cs="Arial"/>
                <w:szCs w:val="24"/>
                <w:lang w:val="en-US"/>
              </w:rPr>
            </w:pPr>
            <w:r>
              <w:rPr>
                <w:rFonts w:cs="Arial"/>
                <w:szCs w:val="24"/>
                <w:lang w:val="en-US"/>
              </w:rPr>
              <w:t>M</w:t>
            </w:r>
            <w:r w:rsidR="00655858" w:rsidRPr="00CE5961">
              <w:rPr>
                <w:rFonts w:cs="Arial"/>
                <w:szCs w:val="24"/>
                <w:lang w:val="en-US"/>
              </w:rPr>
              <w:t>embers may be asked to drive an SRV from scene to hospital in order to repatriate the vehicle with the clinician who has travelled with the patient if operationally beneficial.</w:t>
            </w:r>
          </w:p>
        </w:tc>
      </w:tr>
      <w:tr w:rsidR="00655858" w:rsidRPr="007F148E" w14:paraId="6E0441CD"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52BC6413" w14:textId="77777777" w:rsidR="00655858" w:rsidRPr="007F148E" w:rsidRDefault="00655858" w:rsidP="004D6520">
            <w:pPr>
              <w:rPr>
                <w:rFonts w:cs="Arial"/>
                <w:szCs w:val="24"/>
                <w:lang w:val="en-US"/>
              </w:rPr>
            </w:pPr>
          </w:p>
        </w:tc>
        <w:tc>
          <w:tcPr>
            <w:tcW w:w="8348" w:type="dxa"/>
            <w:tcBorders>
              <w:top w:val="nil"/>
              <w:left w:val="nil"/>
              <w:bottom w:val="single" w:sz="8" w:space="0" w:color="auto"/>
              <w:right w:val="single" w:sz="8" w:space="0" w:color="auto"/>
            </w:tcBorders>
            <w:hideMark/>
          </w:tcPr>
          <w:p w14:paraId="20581402" w14:textId="77777777" w:rsidR="00655858" w:rsidRPr="00CE5961" w:rsidRDefault="00655858" w:rsidP="004D6520">
            <w:pPr>
              <w:jc w:val="center"/>
              <w:rPr>
                <w:rFonts w:cs="Arial"/>
                <w:b/>
                <w:bCs/>
                <w:szCs w:val="24"/>
                <w:lang w:val="en-US"/>
              </w:rPr>
            </w:pPr>
            <w:r w:rsidRPr="00CE5961">
              <w:rPr>
                <w:rFonts w:cs="Arial"/>
                <w:b/>
                <w:bCs/>
                <w:szCs w:val="24"/>
                <w:lang w:val="en-US"/>
              </w:rPr>
              <w:t>Normal driving conditions apply, no emergency driving conditions are necessary or permitted for these journeys.</w:t>
            </w:r>
          </w:p>
        </w:tc>
      </w:tr>
    </w:tbl>
    <w:p w14:paraId="06EEC931" w14:textId="77777777" w:rsidR="00655858" w:rsidRDefault="00655858" w:rsidP="00460ADD">
      <w:pPr>
        <w:tabs>
          <w:tab w:val="left" w:pos="1843"/>
        </w:tabs>
        <w:spacing w:before="360" w:after="240"/>
        <w:outlineLvl w:val="0"/>
        <w:rPr>
          <w:rFonts w:cs="Arial"/>
          <w:b/>
          <w:bCs/>
          <w:sz w:val="28"/>
          <w:szCs w:val="28"/>
        </w:rPr>
        <w:sectPr w:rsidR="00655858" w:rsidSect="00956798">
          <w:headerReference w:type="even" r:id="rId18"/>
          <w:pgSz w:w="11906" w:h="16838" w:code="9"/>
          <w:pgMar w:top="1440" w:right="1440" w:bottom="1440" w:left="1440" w:header="709" w:footer="709" w:gutter="0"/>
          <w:cols w:space="708"/>
          <w:docGrid w:linePitch="360"/>
        </w:sectPr>
      </w:pPr>
    </w:p>
    <w:p w14:paraId="3D927A05" w14:textId="77777777" w:rsidR="00794FAD" w:rsidRPr="00794FAD" w:rsidRDefault="00794FAD" w:rsidP="00794FAD">
      <w:pPr>
        <w:rPr>
          <w:rFonts w:cs="Arial"/>
          <w:szCs w:val="24"/>
        </w:rPr>
      </w:pPr>
    </w:p>
    <w:sectPr w:rsidR="00794FAD" w:rsidRPr="00794FAD" w:rsidSect="0095679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F88D" w14:textId="77777777" w:rsidR="00B21EB4" w:rsidRDefault="00B21EB4">
      <w:r>
        <w:separator/>
      </w:r>
    </w:p>
    <w:p w14:paraId="25DA2259" w14:textId="77777777" w:rsidR="00B21EB4" w:rsidRDefault="00B21EB4"/>
    <w:p w14:paraId="3C64841A" w14:textId="77777777" w:rsidR="00B21EB4" w:rsidRDefault="00B21EB4" w:rsidP="00ED0BD0"/>
    <w:p w14:paraId="772CB621" w14:textId="77777777" w:rsidR="00B21EB4" w:rsidRDefault="00B21EB4" w:rsidP="00ED0BD0"/>
    <w:p w14:paraId="09540448" w14:textId="77777777" w:rsidR="00B21EB4" w:rsidRDefault="00B21EB4" w:rsidP="00100CA2"/>
    <w:p w14:paraId="7734EE08" w14:textId="77777777" w:rsidR="00B21EB4" w:rsidRDefault="00B21EB4" w:rsidP="00100CA2"/>
    <w:p w14:paraId="449CABBB" w14:textId="77777777" w:rsidR="00B21EB4" w:rsidRDefault="00B21EB4" w:rsidP="00100CA2"/>
    <w:p w14:paraId="49750478" w14:textId="77777777" w:rsidR="00B21EB4" w:rsidRDefault="00B21EB4" w:rsidP="00100CA2"/>
    <w:p w14:paraId="293939C6" w14:textId="77777777" w:rsidR="00B21EB4" w:rsidRDefault="00B21EB4" w:rsidP="00AF2D35"/>
  </w:endnote>
  <w:endnote w:type="continuationSeparator" w:id="0">
    <w:p w14:paraId="6C5AB4E0" w14:textId="77777777" w:rsidR="00B21EB4" w:rsidRDefault="00B21EB4">
      <w:r>
        <w:continuationSeparator/>
      </w:r>
    </w:p>
    <w:p w14:paraId="6ED9E863" w14:textId="77777777" w:rsidR="00B21EB4" w:rsidRDefault="00B21EB4"/>
    <w:p w14:paraId="38B51746" w14:textId="77777777" w:rsidR="00B21EB4" w:rsidRDefault="00B21EB4" w:rsidP="00ED0BD0"/>
    <w:p w14:paraId="164AB545" w14:textId="77777777" w:rsidR="00B21EB4" w:rsidRDefault="00B21EB4" w:rsidP="00ED0BD0"/>
    <w:p w14:paraId="4B18CD91" w14:textId="77777777" w:rsidR="00B21EB4" w:rsidRDefault="00B21EB4" w:rsidP="00100CA2"/>
    <w:p w14:paraId="119301AE" w14:textId="77777777" w:rsidR="00B21EB4" w:rsidRDefault="00B21EB4" w:rsidP="00100CA2"/>
    <w:p w14:paraId="4FB4270F" w14:textId="77777777" w:rsidR="00B21EB4" w:rsidRDefault="00B21EB4" w:rsidP="00100CA2"/>
    <w:p w14:paraId="4D4B42CA" w14:textId="77777777" w:rsidR="00B21EB4" w:rsidRDefault="00B21EB4" w:rsidP="00100CA2"/>
    <w:p w14:paraId="5B4E1F24" w14:textId="77777777" w:rsidR="00B21EB4" w:rsidRDefault="00B21EB4"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6E" w14:textId="57A27D29" w:rsidR="0082309D" w:rsidRDefault="0082309D"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148C1">
      <w:rPr>
        <w:rStyle w:val="PageNumber"/>
        <w:noProof/>
      </w:rPr>
      <w:t>2</w:t>
    </w:r>
    <w:r>
      <w:rPr>
        <w:rStyle w:val="PageNumber"/>
      </w:rPr>
      <w:fldChar w:fldCharType="end"/>
    </w:r>
  </w:p>
  <w:p w14:paraId="4993FD6F" w14:textId="77777777" w:rsidR="0082309D" w:rsidRDefault="0082309D"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16961"/>
      <w:docPartObj>
        <w:docPartGallery w:val="Page Numbers (Bottom of Page)"/>
        <w:docPartUnique/>
      </w:docPartObj>
    </w:sdtPr>
    <w:sdtEndPr>
      <w:rPr>
        <w:noProof/>
      </w:rPr>
    </w:sdtEndPr>
    <w:sdtContent>
      <w:p w14:paraId="2899E9F2" w14:textId="2DB79AD6" w:rsidR="009052A5" w:rsidRDefault="009052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81445" w14:textId="77777777" w:rsidR="009052A5" w:rsidRDefault="009052A5" w:rsidP="009052A5">
    <w:pPr>
      <w:pStyle w:val="Footer"/>
    </w:pPr>
    <w:r>
      <w:t>Driving Standards Procedure V0.2</w:t>
    </w:r>
  </w:p>
  <w:p w14:paraId="7684DF81" w14:textId="162E54B0" w:rsidR="00BA7287" w:rsidRDefault="009052A5" w:rsidP="009052A5">
    <w:pPr>
      <w:pStyle w:val="Footer"/>
    </w:pPr>
    <w:r>
      <w:t>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3" w14:textId="77777777" w:rsidR="0082309D" w:rsidRPr="0049606A" w:rsidRDefault="0082309D" w:rsidP="0049606A">
    <w:pPr>
      <w:tabs>
        <w:tab w:val="left" w:pos="1276"/>
        <w:tab w:val="left" w:pos="3119"/>
        <w:tab w:val="left" w:pos="4820"/>
        <w:tab w:val="right" w:pos="8364"/>
      </w:tabs>
      <w:rPr>
        <w:b/>
        <w:bCs/>
        <w:noProof/>
        <w:color w:val="660066"/>
        <w:sz w:val="20"/>
        <w:szCs w:val="22"/>
      </w:rPr>
    </w:pPr>
    <w:r w:rsidRPr="0087189C">
      <w:rPr>
        <w:b/>
        <w:bCs/>
        <w:noProof/>
        <w:color w:val="31849B"/>
        <w:sz w:val="20"/>
        <w:szCs w:val="22"/>
      </w:rPr>
      <w:t>Be Proud</w:t>
    </w:r>
    <w:r w:rsidRPr="0087189C">
      <w:rPr>
        <w:noProof/>
        <w:color w:val="1F497D"/>
        <w:sz w:val="20"/>
        <w:szCs w:val="22"/>
      </w:rPr>
      <w:tab/>
    </w:r>
    <w:r w:rsidRPr="0087189C">
      <w:rPr>
        <w:b/>
        <w:bCs/>
        <w:noProof/>
        <w:color w:val="008000"/>
        <w:sz w:val="20"/>
        <w:szCs w:val="22"/>
      </w:rPr>
      <w:t>Show Respect</w:t>
    </w:r>
    <w:r w:rsidRPr="0087189C">
      <w:rPr>
        <w:b/>
        <w:bCs/>
        <w:noProof/>
        <w:color w:val="008000"/>
        <w:sz w:val="20"/>
        <w:szCs w:val="22"/>
      </w:rPr>
      <w:tab/>
    </w:r>
    <w:r w:rsidRPr="0087189C">
      <w:rPr>
        <w:b/>
        <w:bCs/>
        <w:noProof/>
        <w:color w:val="E36C0A"/>
        <w:sz w:val="20"/>
        <w:szCs w:val="22"/>
      </w:rPr>
      <w:t>Have Integrity</w:t>
    </w:r>
    <w:r w:rsidRPr="0087189C">
      <w:rPr>
        <w:b/>
        <w:bCs/>
        <w:noProof/>
        <w:color w:val="E36C0A"/>
        <w:sz w:val="20"/>
        <w:szCs w:val="22"/>
      </w:rPr>
      <w:tab/>
    </w:r>
    <w:r w:rsidRPr="0087189C">
      <w:rPr>
        <w:b/>
        <w:bCs/>
        <w:noProof/>
        <w:color w:val="DF0F4F"/>
        <w:sz w:val="20"/>
        <w:szCs w:val="22"/>
      </w:rPr>
      <w:t>Be Innovative</w:t>
    </w:r>
    <w:r w:rsidRPr="0087189C">
      <w:rPr>
        <w:b/>
        <w:bCs/>
        <w:noProof/>
        <w:color w:val="DF0F4F"/>
        <w:sz w:val="20"/>
        <w:szCs w:val="22"/>
      </w:rPr>
      <w:tab/>
    </w:r>
    <w:r w:rsidRPr="0087189C">
      <w:rPr>
        <w:b/>
        <w:bCs/>
        <w:noProof/>
        <w:color w:val="660066"/>
        <w:sz w:val="20"/>
        <w:szCs w:val="22"/>
      </w:rPr>
      <w:t>Take Responsibility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5415" w14:textId="77777777" w:rsidR="00B21EB4" w:rsidRDefault="00B21EB4">
      <w:r>
        <w:separator/>
      </w:r>
    </w:p>
    <w:p w14:paraId="53757FCC" w14:textId="77777777" w:rsidR="00B21EB4" w:rsidRDefault="00B21EB4"/>
    <w:p w14:paraId="5DB48A9A" w14:textId="77777777" w:rsidR="00B21EB4" w:rsidRDefault="00B21EB4" w:rsidP="00ED0BD0"/>
    <w:p w14:paraId="72361973" w14:textId="77777777" w:rsidR="00B21EB4" w:rsidRDefault="00B21EB4" w:rsidP="00ED0BD0"/>
    <w:p w14:paraId="207B3303" w14:textId="77777777" w:rsidR="00B21EB4" w:rsidRDefault="00B21EB4" w:rsidP="00100CA2"/>
    <w:p w14:paraId="3160B2A9" w14:textId="77777777" w:rsidR="00B21EB4" w:rsidRDefault="00B21EB4" w:rsidP="00100CA2"/>
    <w:p w14:paraId="65B2DC8D" w14:textId="77777777" w:rsidR="00B21EB4" w:rsidRDefault="00B21EB4" w:rsidP="00100CA2"/>
    <w:p w14:paraId="19C4014A" w14:textId="77777777" w:rsidR="00B21EB4" w:rsidRDefault="00B21EB4" w:rsidP="00100CA2"/>
    <w:p w14:paraId="0F723539" w14:textId="77777777" w:rsidR="00B21EB4" w:rsidRDefault="00B21EB4" w:rsidP="00AF2D35"/>
  </w:footnote>
  <w:footnote w:type="continuationSeparator" w:id="0">
    <w:p w14:paraId="180AE5E2" w14:textId="77777777" w:rsidR="00B21EB4" w:rsidRDefault="00B21EB4">
      <w:r>
        <w:continuationSeparator/>
      </w:r>
    </w:p>
    <w:p w14:paraId="7521D5E8" w14:textId="77777777" w:rsidR="00B21EB4" w:rsidRDefault="00B21EB4"/>
    <w:p w14:paraId="2E181813" w14:textId="77777777" w:rsidR="00B21EB4" w:rsidRDefault="00B21EB4" w:rsidP="00ED0BD0"/>
    <w:p w14:paraId="6D604EDE" w14:textId="77777777" w:rsidR="00B21EB4" w:rsidRDefault="00B21EB4" w:rsidP="00ED0BD0"/>
    <w:p w14:paraId="22BE7CCE" w14:textId="77777777" w:rsidR="00B21EB4" w:rsidRDefault="00B21EB4" w:rsidP="00100CA2"/>
    <w:p w14:paraId="00C6C2E2" w14:textId="77777777" w:rsidR="00B21EB4" w:rsidRDefault="00B21EB4" w:rsidP="00100CA2"/>
    <w:p w14:paraId="642EF59F" w14:textId="77777777" w:rsidR="00B21EB4" w:rsidRDefault="00B21EB4" w:rsidP="00100CA2"/>
    <w:p w14:paraId="7891C454" w14:textId="77777777" w:rsidR="00B21EB4" w:rsidRDefault="00B21EB4" w:rsidP="00100CA2"/>
    <w:p w14:paraId="0B25C195" w14:textId="77777777" w:rsidR="00B21EB4" w:rsidRDefault="00B21EB4"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7B8D" w14:textId="767C451E" w:rsidR="00BA7287" w:rsidRDefault="00BA7287">
    <w:pPr>
      <w:pStyle w:val="Header"/>
    </w:pPr>
    <w:r w:rsidRPr="00BA7287">
      <w:t>Driving Standards Procedure</w:t>
    </w:r>
    <w:r>
      <w:t xml:space="preserve"> V</w:t>
    </w:r>
    <w:r w:rsidR="009052A5">
      <w:t>0.2</w:t>
    </w:r>
  </w:p>
  <w:p w14:paraId="49C09317" w14:textId="45AB894F" w:rsidR="009052A5" w:rsidRDefault="00905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2" w14:textId="31310B0B" w:rsidR="0082309D" w:rsidRPr="00ED0BD0" w:rsidRDefault="0082309D" w:rsidP="00ED0BD0">
    <w:pPr>
      <w:pStyle w:val="Header"/>
    </w:pPr>
    <w:r>
      <w:rPr>
        <w:noProof/>
        <w:lang w:eastAsia="en-GB"/>
      </w:rPr>
      <w:drawing>
        <wp:anchor distT="0" distB="0" distL="114300" distR="114300" simplePos="0" relativeHeight="251658240" behindDoc="1" locked="0" layoutInCell="1" allowOverlap="1" wp14:anchorId="4993FD75" wp14:editId="14EFA9EA">
          <wp:simplePos x="0" y="0"/>
          <wp:positionH relativeFrom="column">
            <wp:posOffset>-917575</wp:posOffset>
          </wp:positionH>
          <wp:positionV relativeFrom="paragraph">
            <wp:posOffset>-450215</wp:posOffset>
          </wp:positionV>
          <wp:extent cx="7562215" cy="1508760"/>
          <wp:effectExtent l="0" t="0" r="0" b="0"/>
          <wp:wrapNone/>
          <wp:docPr id="1" name="Picture 1" descr="letterhead head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etterhead head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508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4" w14:textId="77777777" w:rsidR="0082309D" w:rsidRDefault="00823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D8C4425"/>
    <w:multiLevelType w:val="hybridMultilevel"/>
    <w:tmpl w:val="C8B0897C"/>
    <w:lvl w:ilvl="0" w:tplc="C4FEF926">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F6991"/>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6" w15:restartNumberingAfterBreak="0">
    <w:nsid w:val="2FC30839"/>
    <w:multiLevelType w:val="hybridMultilevel"/>
    <w:tmpl w:val="3BB6227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7"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3FF7C4A"/>
    <w:multiLevelType w:val="hybridMultilevel"/>
    <w:tmpl w:val="DF741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B0C8A"/>
    <w:multiLevelType w:val="hybridMultilevel"/>
    <w:tmpl w:val="8C1A3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A0C6EAF"/>
    <w:multiLevelType w:val="hybridMultilevel"/>
    <w:tmpl w:val="E5AE08B6"/>
    <w:lvl w:ilvl="0" w:tplc="C4FEF926">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53C2A8B"/>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6" w15:restartNumberingAfterBreak="0">
    <w:nsid w:val="561E0FA2"/>
    <w:multiLevelType w:val="multilevel"/>
    <w:tmpl w:val="848C545C"/>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A857B13"/>
    <w:multiLevelType w:val="multilevel"/>
    <w:tmpl w:val="357AE618"/>
    <w:lvl w:ilvl="0">
      <w:start w:val="9"/>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9" w15:restartNumberingAfterBreak="0">
    <w:nsid w:val="5F481969"/>
    <w:multiLevelType w:val="hybridMultilevel"/>
    <w:tmpl w:val="7EAAC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778A"/>
    <w:multiLevelType w:val="multilevel"/>
    <w:tmpl w:val="DD3CF99C"/>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1"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71AD5BFD"/>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3"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4" w15:restartNumberingAfterBreak="0">
    <w:nsid w:val="780B1620"/>
    <w:multiLevelType w:val="multilevel"/>
    <w:tmpl w:val="9704DDCA"/>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5" w15:restartNumberingAfterBreak="0">
    <w:nsid w:val="79B01767"/>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6"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882447959">
    <w:abstractNumId w:val="0"/>
  </w:num>
  <w:num w:numId="2" w16cid:durableId="848059607">
    <w:abstractNumId w:val="16"/>
  </w:num>
  <w:num w:numId="3" w16cid:durableId="1947031112">
    <w:abstractNumId w:val="4"/>
  </w:num>
  <w:num w:numId="4" w16cid:durableId="433525264">
    <w:abstractNumId w:val="11"/>
  </w:num>
  <w:num w:numId="5" w16cid:durableId="1389305462">
    <w:abstractNumId w:val="21"/>
  </w:num>
  <w:num w:numId="6" w16cid:durableId="1363937539">
    <w:abstractNumId w:val="17"/>
  </w:num>
  <w:num w:numId="7" w16cid:durableId="506677998">
    <w:abstractNumId w:val="7"/>
  </w:num>
  <w:num w:numId="8" w16cid:durableId="1090200303">
    <w:abstractNumId w:val="1"/>
  </w:num>
  <w:num w:numId="9" w16cid:durableId="5836879">
    <w:abstractNumId w:val="14"/>
  </w:num>
  <w:num w:numId="10" w16cid:durableId="1671441454">
    <w:abstractNumId w:val="26"/>
  </w:num>
  <w:num w:numId="11" w16cid:durableId="1800607967">
    <w:abstractNumId w:val="16"/>
  </w:num>
  <w:num w:numId="12" w16cid:durableId="2587684">
    <w:abstractNumId w:val="13"/>
  </w:num>
  <w:num w:numId="13" w16cid:durableId="1356616531">
    <w:abstractNumId w:val="10"/>
  </w:num>
  <w:num w:numId="14" w16cid:durableId="2092699515">
    <w:abstractNumId w:val="5"/>
  </w:num>
  <w:num w:numId="15" w16cid:durableId="1683625830">
    <w:abstractNumId w:val="23"/>
  </w:num>
  <w:num w:numId="16" w16cid:durableId="800345829">
    <w:abstractNumId w:val="1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086615249">
    <w:abstractNumId w:val="6"/>
  </w:num>
  <w:num w:numId="18" w16cid:durableId="717629137">
    <w:abstractNumId w:val="9"/>
  </w:num>
  <w:num w:numId="19" w16cid:durableId="1975477243">
    <w:abstractNumId w:val="24"/>
  </w:num>
  <w:num w:numId="20" w16cid:durableId="1303000990">
    <w:abstractNumId w:val="19"/>
  </w:num>
  <w:num w:numId="21" w16cid:durableId="1693416100">
    <w:abstractNumId w:val="8"/>
  </w:num>
  <w:num w:numId="22" w16cid:durableId="1680963362">
    <w:abstractNumId w:val="3"/>
  </w:num>
  <w:num w:numId="23" w16cid:durableId="833910947">
    <w:abstractNumId w:val="15"/>
  </w:num>
  <w:num w:numId="24" w16cid:durableId="653950180">
    <w:abstractNumId w:val="25"/>
  </w:num>
  <w:num w:numId="25" w16cid:durableId="920287919">
    <w:abstractNumId w:val="18"/>
  </w:num>
  <w:num w:numId="26" w16cid:durableId="2134709833">
    <w:abstractNumId w:val="2"/>
  </w:num>
  <w:num w:numId="27" w16cid:durableId="593052134">
    <w:abstractNumId w:val="12"/>
  </w:num>
  <w:num w:numId="28" w16cid:durableId="1631857108">
    <w:abstractNumId w:val="22"/>
  </w:num>
  <w:num w:numId="29" w16cid:durableId="1059403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B8"/>
    <w:rsid w:val="00000605"/>
    <w:rsid w:val="0000486F"/>
    <w:rsid w:val="000048D6"/>
    <w:rsid w:val="00010E7D"/>
    <w:rsid w:val="000110D3"/>
    <w:rsid w:val="00011A20"/>
    <w:rsid w:val="00012411"/>
    <w:rsid w:val="000143B4"/>
    <w:rsid w:val="000163CE"/>
    <w:rsid w:val="00021F7E"/>
    <w:rsid w:val="0002328C"/>
    <w:rsid w:val="00030295"/>
    <w:rsid w:val="00033CA2"/>
    <w:rsid w:val="00043725"/>
    <w:rsid w:val="000557D2"/>
    <w:rsid w:val="00057C3E"/>
    <w:rsid w:val="00057E23"/>
    <w:rsid w:val="000611AA"/>
    <w:rsid w:val="00061473"/>
    <w:rsid w:val="000622B5"/>
    <w:rsid w:val="00063CE7"/>
    <w:rsid w:val="00064E96"/>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28C7"/>
    <w:rsid w:val="0009380B"/>
    <w:rsid w:val="00094294"/>
    <w:rsid w:val="000944E6"/>
    <w:rsid w:val="000954BE"/>
    <w:rsid w:val="00095E88"/>
    <w:rsid w:val="000A078A"/>
    <w:rsid w:val="000A177D"/>
    <w:rsid w:val="000A3074"/>
    <w:rsid w:val="000A54FF"/>
    <w:rsid w:val="000A70D9"/>
    <w:rsid w:val="000B1149"/>
    <w:rsid w:val="000B2950"/>
    <w:rsid w:val="000B3E4F"/>
    <w:rsid w:val="000B47E8"/>
    <w:rsid w:val="000B50FF"/>
    <w:rsid w:val="000B5390"/>
    <w:rsid w:val="000B568B"/>
    <w:rsid w:val="000B570B"/>
    <w:rsid w:val="000B6DEE"/>
    <w:rsid w:val="000C0575"/>
    <w:rsid w:val="000C336D"/>
    <w:rsid w:val="000C46FB"/>
    <w:rsid w:val="000C5005"/>
    <w:rsid w:val="000C5A46"/>
    <w:rsid w:val="000C6202"/>
    <w:rsid w:val="000D0E3F"/>
    <w:rsid w:val="000D52BB"/>
    <w:rsid w:val="000D5CE0"/>
    <w:rsid w:val="000D5E3D"/>
    <w:rsid w:val="000D6ECB"/>
    <w:rsid w:val="000E0240"/>
    <w:rsid w:val="000E26BA"/>
    <w:rsid w:val="000E4791"/>
    <w:rsid w:val="000E4FB8"/>
    <w:rsid w:val="000E53AA"/>
    <w:rsid w:val="000E59C2"/>
    <w:rsid w:val="000E6C13"/>
    <w:rsid w:val="000F167B"/>
    <w:rsid w:val="000F4067"/>
    <w:rsid w:val="000F585D"/>
    <w:rsid w:val="000F71A9"/>
    <w:rsid w:val="00100CA2"/>
    <w:rsid w:val="00104F86"/>
    <w:rsid w:val="001059E8"/>
    <w:rsid w:val="00105F86"/>
    <w:rsid w:val="0010709A"/>
    <w:rsid w:val="001143AA"/>
    <w:rsid w:val="0011529A"/>
    <w:rsid w:val="001162B8"/>
    <w:rsid w:val="00117D6E"/>
    <w:rsid w:val="00122B1D"/>
    <w:rsid w:val="00123B10"/>
    <w:rsid w:val="00123CEC"/>
    <w:rsid w:val="001268D6"/>
    <w:rsid w:val="001272E1"/>
    <w:rsid w:val="001318E5"/>
    <w:rsid w:val="00133498"/>
    <w:rsid w:val="00136AA6"/>
    <w:rsid w:val="00137844"/>
    <w:rsid w:val="00140779"/>
    <w:rsid w:val="001415B1"/>
    <w:rsid w:val="00141A7A"/>
    <w:rsid w:val="00144AE7"/>
    <w:rsid w:val="0014723C"/>
    <w:rsid w:val="00155033"/>
    <w:rsid w:val="00157194"/>
    <w:rsid w:val="00157292"/>
    <w:rsid w:val="00162AD6"/>
    <w:rsid w:val="00164855"/>
    <w:rsid w:val="001667B5"/>
    <w:rsid w:val="00167089"/>
    <w:rsid w:val="00167D42"/>
    <w:rsid w:val="00171667"/>
    <w:rsid w:val="00171AFC"/>
    <w:rsid w:val="001744DC"/>
    <w:rsid w:val="00174D89"/>
    <w:rsid w:val="00180046"/>
    <w:rsid w:val="001812DD"/>
    <w:rsid w:val="00182AB3"/>
    <w:rsid w:val="00184924"/>
    <w:rsid w:val="0019500C"/>
    <w:rsid w:val="00197554"/>
    <w:rsid w:val="00197925"/>
    <w:rsid w:val="001A10B5"/>
    <w:rsid w:val="001B0AB8"/>
    <w:rsid w:val="001B1478"/>
    <w:rsid w:val="001B1DE2"/>
    <w:rsid w:val="001B20F5"/>
    <w:rsid w:val="001B2115"/>
    <w:rsid w:val="001B3559"/>
    <w:rsid w:val="001B3630"/>
    <w:rsid w:val="001B3A73"/>
    <w:rsid w:val="001B7CBD"/>
    <w:rsid w:val="001C1FEE"/>
    <w:rsid w:val="001C39B0"/>
    <w:rsid w:val="001C560C"/>
    <w:rsid w:val="001C6F31"/>
    <w:rsid w:val="001D0E06"/>
    <w:rsid w:val="001D1919"/>
    <w:rsid w:val="001D2529"/>
    <w:rsid w:val="001D3876"/>
    <w:rsid w:val="001D4535"/>
    <w:rsid w:val="001D5D67"/>
    <w:rsid w:val="001E008C"/>
    <w:rsid w:val="001E0378"/>
    <w:rsid w:val="001E0E20"/>
    <w:rsid w:val="001E2FC0"/>
    <w:rsid w:val="001E557D"/>
    <w:rsid w:val="001E56B4"/>
    <w:rsid w:val="001E6AD6"/>
    <w:rsid w:val="001F1CE1"/>
    <w:rsid w:val="001F2022"/>
    <w:rsid w:val="001F48CC"/>
    <w:rsid w:val="001F4940"/>
    <w:rsid w:val="001F67D1"/>
    <w:rsid w:val="001F6EDF"/>
    <w:rsid w:val="002005A0"/>
    <w:rsid w:val="00201257"/>
    <w:rsid w:val="002027FA"/>
    <w:rsid w:val="00204003"/>
    <w:rsid w:val="00204005"/>
    <w:rsid w:val="00205C12"/>
    <w:rsid w:val="00205E8F"/>
    <w:rsid w:val="002069A3"/>
    <w:rsid w:val="00206D93"/>
    <w:rsid w:val="002111D3"/>
    <w:rsid w:val="002170C9"/>
    <w:rsid w:val="002209BF"/>
    <w:rsid w:val="0022297D"/>
    <w:rsid w:val="00223EBC"/>
    <w:rsid w:val="00223F51"/>
    <w:rsid w:val="00224556"/>
    <w:rsid w:val="00225B5C"/>
    <w:rsid w:val="002277F7"/>
    <w:rsid w:val="00231CE0"/>
    <w:rsid w:val="00234FDF"/>
    <w:rsid w:val="00235614"/>
    <w:rsid w:val="00236606"/>
    <w:rsid w:val="00240ECA"/>
    <w:rsid w:val="00242E00"/>
    <w:rsid w:val="00243FAA"/>
    <w:rsid w:val="0024437F"/>
    <w:rsid w:val="00246597"/>
    <w:rsid w:val="00247372"/>
    <w:rsid w:val="00252092"/>
    <w:rsid w:val="0025361B"/>
    <w:rsid w:val="00253A36"/>
    <w:rsid w:val="002563E2"/>
    <w:rsid w:val="00264500"/>
    <w:rsid w:val="00265ADE"/>
    <w:rsid w:val="00271C58"/>
    <w:rsid w:val="002729E1"/>
    <w:rsid w:val="0027311C"/>
    <w:rsid w:val="00273680"/>
    <w:rsid w:val="0027478B"/>
    <w:rsid w:val="002748EF"/>
    <w:rsid w:val="002752C4"/>
    <w:rsid w:val="00277201"/>
    <w:rsid w:val="002776A5"/>
    <w:rsid w:val="00283498"/>
    <w:rsid w:val="002860E4"/>
    <w:rsid w:val="0028755C"/>
    <w:rsid w:val="00287DA8"/>
    <w:rsid w:val="00290CED"/>
    <w:rsid w:val="002911BC"/>
    <w:rsid w:val="00291B1B"/>
    <w:rsid w:val="00291F5D"/>
    <w:rsid w:val="002925A9"/>
    <w:rsid w:val="00293873"/>
    <w:rsid w:val="00293C80"/>
    <w:rsid w:val="00294E75"/>
    <w:rsid w:val="00295672"/>
    <w:rsid w:val="002A3E43"/>
    <w:rsid w:val="002A5169"/>
    <w:rsid w:val="002B16D3"/>
    <w:rsid w:val="002B5FAB"/>
    <w:rsid w:val="002B6944"/>
    <w:rsid w:val="002B7C6C"/>
    <w:rsid w:val="002C1ECB"/>
    <w:rsid w:val="002C233E"/>
    <w:rsid w:val="002C5BA4"/>
    <w:rsid w:val="002D24C9"/>
    <w:rsid w:val="002D3FBA"/>
    <w:rsid w:val="002D6CAA"/>
    <w:rsid w:val="002E3982"/>
    <w:rsid w:val="002E5EFA"/>
    <w:rsid w:val="002E7456"/>
    <w:rsid w:val="002F1BDC"/>
    <w:rsid w:val="002F2962"/>
    <w:rsid w:val="002F4437"/>
    <w:rsid w:val="003006ED"/>
    <w:rsid w:val="00302E70"/>
    <w:rsid w:val="0030543B"/>
    <w:rsid w:val="00306C33"/>
    <w:rsid w:val="00306CAA"/>
    <w:rsid w:val="00312807"/>
    <w:rsid w:val="00312B0C"/>
    <w:rsid w:val="0031548D"/>
    <w:rsid w:val="00315DF3"/>
    <w:rsid w:val="003172FD"/>
    <w:rsid w:val="003179EF"/>
    <w:rsid w:val="003211F2"/>
    <w:rsid w:val="003224F0"/>
    <w:rsid w:val="00324386"/>
    <w:rsid w:val="003301D3"/>
    <w:rsid w:val="00332632"/>
    <w:rsid w:val="003355F0"/>
    <w:rsid w:val="003361C9"/>
    <w:rsid w:val="0033655F"/>
    <w:rsid w:val="00336A1A"/>
    <w:rsid w:val="00336A91"/>
    <w:rsid w:val="0033796A"/>
    <w:rsid w:val="00337996"/>
    <w:rsid w:val="00337C03"/>
    <w:rsid w:val="003407EB"/>
    <w:rsid w:val="00340BE4"/>
    <w:rsid w:val="0034387D"/>
    <w:rsid w:val="0034457B"/>
    <w:rsid w:val="00344CCC"/>
    <w:rsid w:val="00346B09"/>
    <w:rsid w:val="00350DCE"/>
    <w:rsid w:val="00354090"/>
    <w:rsid w:val="00354547"/>
    <w:rsid w:val="003561FC"/>
    <w:rsid w:val="003569F6"/>
    <w:rsid w:val="003603E8"/>
    <w:rsid w:val="00362445"/>
    <w:rsid w:val="00363497"/>
    <w:rsid w:val="00367A82"/>
    <w:rsid w:val="00367B64"/>
    <w:rsid w:val="00370B93"/>
    <w:rsid w:val="00371A6A"/>
    <w:rsid w:val="00371B37"/>
    <w:rsid w:val="00374BBF"/>
    <w:rsid w:val="00376726"/>
    <w:rsid w:val="00376DD3"/>
    <w:rsid w:val="00377167"/>
    <w:rsid w:val="00381DF3"/>
    <w:rsid w:val="00385371"/>
    <w:rsid w:val="003856B6"/>
    <w:rsid w:val="003910C7"/>
    <w:rsid w:val="00393623"/>
    <w:rsid w:val="00396463"/>
    <w:rsid w:val="00397DE1"/>
    <w:rsid w:val="00397F9E"/>
    <w:rsid w:val="003A011A"/>
    <w:rsid w:val="003A22D0"/>
    <w:rsid w:val="003A3FF9"/>
    <w:rsid w:val="003A701F"/>
    <w:rsid w:val="003B032D"/>
    <w:rsid w:val="003B0C9A"/>
    <w:rsid w:val="003B1A47"/>
    <w:rsid w:val="003B1FDC"/>
    <w:rsid w:val="003B20EE"/>
    <w:rsid w:val="003B4272"/>
    <w:rsid w:val="003B4534"/>
    <w:rsid w:val="003B4BBC"/>
    <w:rsid w:val="003C0552"/>
    <w:rsid w:val="003C2C3C"/>
    <w:rsid w:val="003C2FD4"/>
    <w:rsid w:val="003C4D69"/>
    <w:rsid w:val="003C6284"/>
    <w:rsid w:val="003C66E9"/>
    <w:rsid w:val="003D5F5E"/>
    <w:rsid w:val="003D68DC"/>
    <w:rsid w:val="003E24F2"/>
    <w:rsid w:val="003E41F9"/>
    <w:rsid w:val="003E4631"/>
    <w:rsid w:val="003F055A"/>
    <w:rsid w:val="003F124B"/>
    <w:rsid w:val="003F1B6A"/>
    <w:rsid w:val="003F393B"/>
    <w:rsid w:val="003F505F"/>
    <w:rsid w:val="00400E2A"/>
    <w:rsid w:val="0040166A"/>
    <w:rsid w:val="004024C7"/>
    <w:rsid w:val="00403616"/>
    <w:rsid w:val="00403B2A"/>
    <w:rsid w:val="00406427"/>
    <w:rsid w:val="0041074A"/>
    <w:rsid w:val="004129CA"/>
    <w:rsid w:val="00415513"/>
    <w:rsid w:val="00416DD4"/>
    <w:rsid w:val="004173B3"/>
    <w:rsid w:val="004202BC"/>
    <w:rsid w:val="0042079D"/>
    <w:rsid w:val="0042112D"/>
    <w:rsid w:val="004269E9"/>
    <w:rsid w:val="00426EC9"/>
    <w:rsid w:val="004313FA"/>
    <w:rsid w:val="00432A37"/>
    <w:rsid w:val="004354DB"/>
    <w:rsid w:val="004428FF"/>
    <w:rsid w:val="0044323F"/>
    <w:rsid w:val="00447883"/>
    <w:rsid w:val="004507DC"/>
    <w:rsid w:val="004517F8"/>
    <w:rsid w:val="0045465C"/>
    <w:rsid w:val="00460ADD"/>
    <w:rsid w:val="00464F39"/>
    <w:rsid w:val="00466596"/>
    <w:rsid w:val="004716F0"/>
    <w:rsid w:val="0047217A"/>
    <w:rsid w:val="00475E26"/>
    <w:rsid w:val="00476E60"/>
    <w:rsid w:val="00477223"/>
    <w:rsid w:val="00477E77"/>
    <w:rsid w:val="00480792"/>
    <w:rsid w:val="004849A8"/>
    <w:rsid w:val="00487492"/>
    <w:rsid w:val="004920B9"/>
    <w:rsid w:val="00492B71"/>
    <w:rsid w:val="00492F03"/>
    <w:rsid w:val="0049606A"/>
    <w:rsid w:val="00496383"/>
    <w:rsid w:val="004A1CF7"/>
    <w:rsid w:val="004A2EB3"/>
    <w:rsid w:val="004A5EDB"/>
    <w:rsid w:val="004A78E0"/>
    <w:rsid w:val="004B332C"/>
    <w:rsid w:val="004B6680"/>
    <w:rsid w:val="004B678B"/>
    <w:rsid w:val="004B688D"/>
    <w:rsid w:val="004B702D"/>
    <w:rsid w:val="004C27F9"/>
    <w:rsid w:val="004C3370"/>
    <w:rsid w:val="004C54E7"/>
    <w:rsid w:val="004C6EF2"/>
    <w:rsid w:val="004D033D"/>
    <w:rsid w:val="004D1541"/>
    <w:rsid w:val="004D6520"/>
    <w:rsid w:val="004E15A9"/>
    <w:rsid w:val="004E15CC"/>
    <w:rsid w:val="004F47AE"/>
    <w:rsid w:val="004F4DE0"/>
    <w:rsid w:val="004F7135"/>
    <w:rsid w:val="004F7F43"/>
    <w:rsid w:val="005040BE"/>
    <w:rsid w:val="0050469B"/>
    <w:rsid w:val="00504967"/>
    <w:rsid w:val="00504B85"/>
    <w:rsid w:val="0050716E"/>
    <w:rsid w:val="00514845"/>
    <w:rsid w:val="005165D6"/>
    <w:rsid w:val="00520097"/>
    <w:rsid w:val="00524DA9"/>
    <w:rsid w:val="00527F23"/>
    <w:rsid w:val="00530ACB"/>
    <w:rsid w:val="00534578"/>
    <w:rsid w:val="00536467"/>
    <w:rsid w:val="00541703"/>
    <w:rsid w:val="00544BA2"/>
    <w:rsid w:val="005452AD"/>
    <w:rsid w:val="00546D73"/>
    <w:rsid w:val="00547E9E"/>
    <w:rsid w:val="00551178"/>
    <w:rsid w:val="005519B4"/>
    <w:rsid w:val="00555275"/>
    <w:rsid w:val="0055586C"/>
    <w:rsid w:val="00557233"/>
    <w:rsid w:val="0055773D"/>
    <w:rsid w:val="005645DA"/>
    <w:rsid w:val="00565EB2"/>
    <w:rsid w:val="00567BBB"/>
    <w:rsid w:val="00571B10"/>
    <w:rsid w:val="005729EA"/>
    <w:rsid w:val="0057397A"/>
    <w:rsid w:val="00574B24"/>
    <w:rsid w:val="005754E1"/>
    <w:rsid w:val="005759B9"/>
    <w:rsid w:val="00575B1C"/>
    <w:rsid w:val="005817E1"/>
    <w:rsid w:val="00582C65"/>
    <w:rsid w:val="005842C5"/>
    <w:rsid w:val="00586816"/>
    <w:rsid w:val="00596173"/>
    <w:rsid w:val="005A0253"/>
    <w:rsid w:val="005A054A"/>
    <w:rsid w:val="005A4AA4"/>
    <w:rsid w:val="005A7F37"/>
    <w:rsid w:val="005B1175"/>
    <w:rsid w:val="005B2532"/>
    <w:rsid w:val="005B2A4A"/>
    <w:rsid w:val="005B62B3"/>
    <w:rsid w:val="005B7919"/>
    <w:rsid w:val="005B7FCA"/>
    <w:rsid w:val="005C07B1"/>
    <w:rsid w:val="005C344B"/>
    <w:rsid w:val="005C49B2"/>
    <w:rsid w:val="005D267B"/>
    <w:rsid w:val="005D6036"/>
    <w:rsid w:val="005D7E5E"/>
    <w:rsid w:val="005E310A"/>
    <w:rsid w:val="005E58EE"/>
    <w:rsid w:val="005E6154"/>
    <w:rsid w:val="005E6579"/>
    <w:rsid w:val="005F01F3"/>
    <w:rsid w:val="005F063D"/>
    <w:rsid w:val="005F17E0"/>
    <w:rsid w:val="005F4770"/>
    <w:rsid w:val="005F63F3"/>
    <w:rsid w:val="005F6604"/>
    <w:rsid w:val="00600C29"/>
    <w:rsid w:val="00602CDD"/>
    <w:rsid w:val="00604547"/>
    <w:rsid w:val="006060BE"/>
    <w:rsid w:val="006100B3"/>
    <w:rsid w:val="00615455"/>
    <w:rsid w:val="0061729A"/>
    <w:rsid w:val="006213E5"/>
    <w:rsid w:val="006220C8"/>
    <w:rsid w:val="00633280"/>
    <w:rsid w:val="00634500"/>
    <w:rsid w:val="006403E1"/>
    <w:rsid w:val="006411E9"/>
    <w:rsid w:val="00642417"/>
    <w:rsid w:val="00642CFE"/>
    <w:rsid w:val="006457A7"/>
    <w:rsid w:val="0065039A"/>
    <w:rsid w:val="00652AA7"/>
    <w:rsid w:val="00654EAA"/>
    <w:rsid w:val="00654EE7"/>
    <w:rsid w:val="00655858"/>
    <w:rsid w:val="00655C25"/>
    <w:rsid w:val="006606BE"/>
    <w:rsid w:val="00663F5D"/>
    <w:rsid w:val="00664104"/>
    <w:rsid w:val="006654CA"/>
    <w:rsid w:val="00665A8E"/>
    <w:rsid w:val="00670DB2"/>
    <w:rsid w:val="006714CD"/>
    <w:rsid w:val="00674D59"/>
    <w:rsid w:val="0067574A"/>
    <w:rsid w:val="00682825"/>
    <w:rsid w:val="00682F71"/>
    <w:rsid w:val="00683F42"/>
    <w:rsid w:val="006847F4"/>
    <w:rsid w:val="00690711"/>
    <w:rsid w:val="006950C9"/>
    <w:rsid w:val="006955F2"/>
    <w:rsid w:val="00695AFB"/>
    <w:rsid w:val="006968BC"/>
    <w:rsid w:val="006A2F07"/>
    <w:rsid w:val="006A30DF"/>
    <w:rsid w:val="006A5988"/>
    <w:rsid w:val="006A744D"/>
    <w:rsid w:val="006B2901"/>
    <w:rsid w:val="006B3020"/>
    <w:rsid w:val="006B3651"/>
    <w:rsid w:val="006B45B1"/>
    <w:rsid w:val="006B4C67"/>
    <w:rsid w:val="006B7725"/>
    <w:rsid w:val="006C25E8"/>
    <w:rsid w:val="006C419D"/>
    <w:rsid w:val="006C49B5"/>
    <w:rsid w:val="006C4F6E"/>
    <w:rsid w:val="006C656A"/>
    <w:rsid w:val="006C7B74"/>
    <w:rsid w:val="006D149D"/>
    <w:rsid w:val="006D3BDD"/>
    <w:rsid w:val="006D5E2D"/>
    <w:rsid w:val="006D7DA6"/>
    <w:rsid w:val="006E24D4"/>
    <w:rsid w:val="006E389B"/>
    <w:rsid w:val="006E6096"/>
    <w:rsid w:val="006F1689"/>
    <w:rsid w:val="006F1EF6"/>
    <w:rsid w:val="006F36D3"/>
    <w:rsid w:val="006F5C38"/>
    <w:rsid w:val="00701414"/>
    <w:rsid w:val="007015E1"/>
    <w:rsid w:val="00701A99"/>
    <w:rsid w:val="00702FAF"/>
    <w:rsid w:val="00705F8D"/>
    <w:rsid w:val="0071324E"/>
    <w:rsid w:val="00714A3D"/>
    <w:rsid w:val="00715940"/>
    <w:rsid w:val="00717CBE"/>
    <w:rsid w:val="00724E50"/>
    <w:rsid w:val="00725C6C"/>
    <w:rsid w:val="007261A4"/>
    <w:rsid w:val="0072632C"/>
    <w:rsid w:val="00727059"/>
    <w:rsid w:val="00727C2A"/>
    <w:rsid w:val="0073048D"/>
    <w:rsid w:val="00730851"/>
    <w:rsid w:val="00730DBC"/>
    <w:rsid w:val="0073104C"/>
    <w:rsid w:val="00732B76"/>
    <w:rsid w:val="00740F3E"/>
    <w:rsid w:val="007413E9"/>
    <w:rsid w:val="007419EE"/>
    <w:rsid w:val="00741BD4"/>
    <w:rsid w:val="007421BB"/>
    <w:rsid w:val="00742E13"/>
    <w:rsid w:val="00746130"/>
    <w:rsid w:val="007475BE"/>
    <w:rsid w:val="0075291C"/>
    <w:rsid w:val="00752C07"/>
    <w:rsid w:val="00755230"/>
    <w:rsid w:val="00757E47"/>
    <w:rsid w:val="00762137"/>
    <w:rsid w:val="00762BAA"/>
    <w:rsid w:val="00762D7E"/>
    <w:rsid w:val="00763CAE"/>
    <w:rsid w:val="007640EF"/>
    <w:rsid w:val="0076526F"/>
    <w:rsid w:val="00773EA9"/>
    <w:rsid w:val="0077437B"/>
    <w:rsid w:val="00774CEC"/>
    <w:rsid w:val="00782EDC"/>
    <w:rsid w:val="0078496C"/>
    <w:rsid w:val="00785700"/>
    <w:rsid w:val="007877CC"/>
    <w:rsid w:val="0079202B"/>
    <w:rsid w:val="007921BF"/>
    <w:rsid w:val="0079288C"/>
    <w:rsid w:val="00794FAD"/>
    <w:rsid w:val="00797460"/>
    <w:rsid w:val="007977B3"/>
    <w:rsid w:val="007A7767"/>
    <w:rsid w:val="007A7AAB"/>
    <w:rsid w:val="007B01DB"/>
    <w:rsid w:val="007B3AD2"/>
    <w:rsid w:val="007B415B"/>
    <w:rsid w:val="007B5A56"/>
    <w:rsid w:val="007C092F"/>
    <w:rsid w:val="007C3B8A"/>
    <w:rsid w:val="007C3CF4"/>
    <w:rsid w:val="007D14AA"/>
    <w:rsid w:val="007D67D9"/>
    <w:rsid w:val="007D7964"/>
    <w:rsid w:val="007E0190"/>
    <w:rsid w:val="007E0798"/>
    <w:rsid w:val="007E1461"/>
    <w:rsid w:val="007E3B1D"/>
    <w:rsid w:val="007E5E46"/>
    <w:rsid w:val="007E69DE"/>
    <w:rsid w:val="007E7D95"/>
    <w:rsid w:val="007F30C2"/>
    <w:rsid w:val="007F3317"/>
    <w:rsid w:val="007F5358"/>
    <w:rsid w:val="007F6F9D"/>
    <w:rsid w:val="007F7826"/>
    <w:rsid w:val="007F7BD2"/>
    <w:rsid w:val="00800338"/>
    <w:rsid w:val="00804DDE"/>
    <w:rsid w:val="00806A61"/>
    <w:rsid w:val="00811175"/>
    <w:rsid w:val="008141F2"/>
    <w:rsid w:val="00817FB7"/>
    <w:rsid w:val="00822856"/>
    <w:rsid w:val="0082309D"/>
    <w:rsid w:val="00824037"/>
    <w:rsid w:val="0082420C"/>
    <w:rsid w:val="0082469E"/>
    <w:rsid w:val="008251E2"/>
    <w:rsid w:val="0082683C"/>
    <w:rsid w:val="008274D6"/>
    <w:rsid w:val="00831142"/>
    <w:rsid w:val="00831BD8"/>
    <w:rsid w:val="00834106"/>
    <w:rsid w:val="008341D6"/>
    <w:rsid w:val="00834D73"/>
    <w:rsid w:val="0083508D"/>
    <w:rsid w:val="0084141D"/>
    <w:rsid w:val="008422C0"/>
    <w:rsid w:val="008427E2"/>
    <w:rsid w:val="00842E04"/>
    <w:rsid w:val="008463C9"/>
    <w:rsid w:val="00846555"/>
    <w:rsid w:val="00846727"/>
    <w:rsid w:val="00847EC4"/>
    <w:rsid w:val="008502D4"/>
    <w:rsid w:val="00850FD2"/>
    <w:rsid w:val="0085178E"/>
    <w:rsid w:val="00851946"/>
    <w:rsid w:val="00851FDB"/>
    <w:rsid w:val="008538F8"/>
    <w:rsid w:val="0085455A"/>
    <w:rsid w:val="008556F8"/>
    <w:rsid w:val="00856CF9"/>
    <w:rsid w:val="00862D5B"/>
    <w:rsid w:val="00862EA7"/>
    <w:rsid w:val="00863F40"/>
    <w:rsid w:val="00864EC2"/>
    <w:rsid w:val="0086674E"/>
    <w:rsid w:val="0086799C"/>
    <w:rsid w:val="00870DB3"/>
    <w:rsid w:val="0087247B"/>
    <w:rsid w:val="008736FB"/>
    <w:rsid w:val="00875ADA"/>
    <w:rsid w:val="00876954"/>
    <w:rsid w:val="008803E8"/>
    <w:rsid w:val="00882E30"/>
    <w:rsid w:val="00882EF7"/>
    <w:rsid w:val="00883052"/>
    <w:rsid w:val="00883282"/>
    <w:rsid w:val="00883AC6"/>
    <w:rsid w:val="00883C76"/>
    <w:rsid w:val="00884D88"/>
    <w:rsid w:val="008872AE"/>
    <w:rsid w:val="008908B1"/>
    <w:rsid w:val="00891F32"/>
    <w:rsid w:val="0089267A"/>
    <w:rsid w:val="00897578"/>
    <w:rsid w:val="008A088C"/>
    <w:rsid w:val="008A2CB0"/>
    <w:rsid w:val="008A62FE"/>
    <w:rsid w:val="008B12BA"/>
    <w:rsid w:val="008B3E52"/>
    <w:rsid w:val="008B506F"/>
    <w:rsid w:val="008B5F1C"/>
    <w:rsid w:val="008B64D4"/>
    <w:rsid w:val="008C009B"/>
    <w:rsid w:val="008C2A9B"/>
    <w:rsid w:val="008C480E"/>
    <w:rsid w:val="008E0FE8"/>
    <w:rsid w:val="008E1612"/>
    <w:rsid w:val="008E3F74"/>
    <w:rsid w:val="008E4151"/>
    <w:rsid w:val="008E706B"/>
    <w:rsid w:val="008E7CDE"/>
    <w:rsid w:val="008F0778"/>
    <w:rsid w:val="008F1134"/>
    <w:rsid w:val="008F1982"/>
    <w:rsid w:val="008F1EE7"/>
    <w:rsid w:val="008F26B7"/>
    <w:rsid w:val="008F2ABD"/>
    <w:rsid w:val="008F3690"/>
    <w:rsid w:val="008F4B5E"/>
    <w:rsid w:val="008F66FE"/>
    <w:rsid w:val="008F72C2"/>
    <w:rsid w:val="008F7F3F"/>
    <w:rsid w:val="009002E0"/>
    <w:rsid w:val="00904A0A"/>
    <w:rsid w:val="00905094"/>
    <w:rsid w:val="009052A5"/>
    <w:rsid w:val="00906056"/>
    <w:rsid w:val="00906103"/>
    <w:rsid w:val="0090731E"/>
    <w:rsid w:val="00907AC2"/>
    <w:rsid w:val="00907D47"/>
    <w:rsid w:val="00912A6B"/>
    <w:rsid w:val="00912F1E"/>
    <w:rsid w:val="00913149"/>
    <w:rsid w:val="00913AFA"/>
    <w:rsid w:val="009144ED"/>
    <w:rsid w:val="0091482F"/>
    <w:rsid w:val="0091550F"/>
    <w:rsid w:val="00915FAB"/>
    <w:rsid w:val="0092281A"/>
    <w:rsid w:val="00924D64"/>
    <w:rsid w:val="00926A4F"/>
    <w:rsid w:val="0092748C"/>
    <w:rsid w:val="00931157"/>
    <w:rsid w:val="00931531"/>
    <w:rsid w:val="009321E0"/>
    <w:rsid w:val="0093652D"/>
    <w:rsid w:val="0093697D"/>
    <w:rsid w:val="00940740"/>
    <w:rsid w:val="0094093C"/>
    <w:rsid w:val="0094119F"/>
    <w:rsid w:val="00941F81"/>
    <w:rsid w:val="0094338A"/>
    <w:rsid w:val="00944572"/>
    <w:rsid w:val="00947504"/>
    <w:rsid w:val="009477A3"/>
    <w:rsid w:val="00950009"/>
    <w:rsid w:val="00951273"/>
    <w:rsid w:val="00951A7E"/>
    <w:rsid w:val="00955382"/>
    <w:rsid w:val="009555B5"/>
    <w:rsid w:val="00956798"/>
    <w:rsid w:val="00961675"/>
    <w:rsid w:val="00962CE3"/>
    <w:rsid w:val="00964A2E"/>
    <w:rsid w:val="00966069"/>
    <w:rsid w:val="009675AA"/>
    <w:rsid w:val="00970433"/>
    <w:rsid w:val="00971511"/>
    <w:rsid w:val="00972C51"/>
    <w:rsid w:val="00976CDF"/>
    <w:rsid w:val="00977051"/>
    <w:rsid w:val="00977AE3"/>
    <w:rsid w:val="0098262D"/>
    <w:rsid w:val="00983E44"/>
    <w:rsid w:val="00985034"/>
    <w:rsid w:val="00985F87"/>
    <w:rsid w:val="00986111"/>
    <w:rsid w:val="00986920"/>
    <w:rsid w:val="00986B24"/>
    <w:rsid w:val="0099017E"/>
    <w:rsid w:val="00990305"/>
    <w:rsid w:val="00990427"/>
    <w:rsid w:val="009904CB"/>
    <w:rsid w:val="00990958"/>
    <w:rsid w:val="0099326D"/>
    <w:rsid w:val="00996470"/>
    <w:rsid w:val="009A5113"/>
    <w:rsid w:val="009A6C71"/>
    <w:rsid w:val="009A7FCB"/>
    <w:rsid w:val="009B0042"/>
    <w:rsid w:val="009B2813"/>
    <w:rsid w:val="009B29B8"/>
    <w:rsid w:val="009B7283"/>
    <w:rsid w:val="009C01EF"/>
    <w:rsid w:val="009C0344"/>
    <w:rsid w:val="009C05FA"/>
    <w:rsid w:val="009C55E0"/>
    <w:rsid w:val="009C5B1F"/>
    <w:rsid w:val="009C6968"/>
    <w:rsid w:val="009C7C49"/>
    <w:rsid w:val="009D12AC"/>
    <w:rsid w:val="009D1ADD"/>
    <w:rsid w:val="009D5554"/>
    <w:rsid w:val="009D76CE"/>
    <w:rsid w:val="009E12F0"/>
    <w:rsid w:val="009E36E3"/>
    <w:rsid w:val="009E3A0D"/>
    <w:rsid w:val="009E3D4D"/>
    <w:rsid w:val="009E4858"/>
    <w:rsid w:val="009E4A8F"/>
    <w:rsid w:val="009E5320"/>
    <w:rsid w:val="009E6149"/>
    <w:rsid w:val="009F4CA7"/>
    <w:rsid w:val="009F527D"/>
    <w:rsid w:val="009F5525"/>
    <w:rsid w:val="009F5A66"/>
    <w:rsid w:val="00A053C3"/>
    <w:rsid w:val="00A079CA"/>
    <w:rsid w:val="00A07B6E"/>
    <w:rsid w:val="00A1057D"/>
    <w:rsid w:val="00A10975"/>
    <w:rsid w:val="00A1745A"/>
    <w:rsid w:val="00A21A22"/>
    <w:rsid w:val="00A24E4B"/>
    <w:rsid w:val="00A263E0"/>
    <w:rsid w:val="00A2704F"/>
    <w:rsid w:val="00A27C8E"/>
    <w:rsid w:val="00A304E3"/>
    <w:rsid w:val="00A316A6"/>
    <w:rsid w:val="00A317F8"/>
    <w:rsid w:val="00A416B6"/>
    <w:rsid w:val="00A43419"/>
    <w:rsid w:val="00A43676"/>
    <w:rsid w:val="00A44DE8"/>
    <w:rsid w:val="00A555BC"/>
    <w:rsid w:val="00A56386"/>
    <w:rsid w:val="00A573EC"/>
    <w:rsid w:val="00A57970"/>
    <w:rsid w:val="00A618DB"/>
    <w:rsid w:val="00A62497"/>
    <w:rsid w:val="00A630A3"/>
    <w:rsid w:val="00A6401E"/>
    <w:rsid w:val="00A71E20"/>
    <w:rsid w:val="00A71F42"/>
    <w:rsid w:val="00A72A1B"/>
    <w:rsid w:val="00A72A70"/>
    <w:rsid w:val="00A73D0F"/>
    <w:rsid w:val="00A766DA"/>
    <w:rsid w:val="00A801C6"/>
    <w:rsid w:val="00A8224A"/>
    <w:rsid w:val="00A82359"/>
    <w:rsid w:val="00A82E9C"/>
    <w:rsid w:val="00A842D8"/>
    <w:rsid w:val="00A84F41"/>
    <w:rsid w:val="00A87011"/>
    <w:rsid w:val="00A8783D"/>
    <w:rsid w:val="00A87F06"/>
    <w:rsid w:val="00A906AC"/>
    <w:rsid w:val="00A90E57"/>
    <w:rsid w:val="00A91081"/>
    <w:rsid w:val="00A935FE"/>
    <w:rsid w:val="00A95A91"/>
    <w:rsid w:val="00AA218F"/>
    <w:rsid w:val="00AA2DBF"/>
    <w:rsid w:val="00AA4F1D"/>
    <w:rsid w:val="00AA51A0"/>
    <w:rsid w:val="00AA5549"/>
    <w:rsid w:val="00AA7DB0"/>
    <w:rsid w:val="00AB64AE"/>
    <w:rsid w:val="00AB727B"/>
    <w:rsid w:val="00AB7877"/>
    <w:rsid w:val="00AB7AC6"/>
    <w:rsid w:val="00AC17B6"/>
    <w:rsid w:val="00AC1D6F"/>
    <w:rsid w:val="00AC2BF5"/>
    <w:rsid w:val="00AC3157"/>
    <w:rsid w:val="00AC6FF4"/>
    <w:rsid w:val="00AD2119"/>
    <w:rsid w:val="00AD4AC4"/>
    <w:rsid w:val="00AD4BA8"/>
    <w:rsid w:val="00AD5E41"/>
    <w:rsid w:val="00AD7675"/>
    <w:rsid w:val="00AE0339"/>
    <w:rsid w:val="00AE1183"/>
    <w:rsid w:val="00AE1862"/>
    <w:rsid w:val="00AE1DBE"/>
    <w:rsid w:val="00AE3E1A"/>
    <w:rsid w:val="00AE52FA"/>
    <w:rsid w:val="00AE78C3"/>
    <w:rsid w:val="00AF11DC"/>
    <w:rsid w:val="00AF2D35"/>
    <w:rsid w:val="00AF3C94"/>
    <w:rsid w:val="00AF4C0F"/>
    <w:rsid w:val="00AF4FDF"/>
    <w:rsid w:val="00AF6D18"/>
    <w:rsid w:val="00B021A5"/>
    <w:rsid w:val="00B03603"/>
    <w:rsid w:val="00B040B8"/>
    <w:rsid w:val="00B04953"/>
    <w:rsid w:val="00B05750"/>
    <w:rsid w:val="00B06212"/>
    <w:rsid w:val="00B07853"/>
    <w:rsid w:val="00B12C31"/>
    <w:rsid w:val="00B148C1"/>
    <w:rsid w:val="00B14F14"/>
    <w:rsid w:val="00B15425"/>
    <w:rsid w:val="00B17F13"/>
    <w:rsid w:val="00B205C3"/>
    <w:rsid w:val="00B20AA7"/>
    <w:rsid w:val="00B20D10"/>
    <w:rsid w:val="00B21EB4"/>
    <w:rsid w:val="00B21FFB"/>
    <w:rsid w:val="00B22CF5"/>
    <w:rsid w:val="00B24BBE"/>
    <w:rsid w:val="00B25612"/>
    <w:rsid w:val="00B259B6"/>
    <w:rsid w:val="00B26BD4"/>
    <w:rsid w:val="00B26E12"/>
    <w:rsid w:val="00B3144E"/>
    <w:rsid w:val="00B318A8"/>
    <w:rsid w:val="00B33030"/>
    <w:rsid w:val="00B33AA1"/>
    <w:rsid w:val="00B34CA8"/>
    <w:rsid w:val="00B42672"/>
    <w:rsid w:val="00B45D45"/>
    <w:rsid w:val="00B53F53"/>
    <w:rsid w:val="00B54592"/>
    <w:rsid w:val="00B603F2"/>
    <w:rsid w:val="00B66F6C"/>
    <w:rsid w:val="00B67CA4"/>
    <w:rsid w:val="00B72167"/>
    <w:rsid w:val="00B72662"/>
    <w:rsid w:val="00B727FA"/>
    <w:rsid w:val="00B74ADF"/>
    <w:rsid w:val="00B74CCB"/>
    <w:rsid w:val="00B76CE5"/>
    <w:rsid w:val="00B83683"/>
    <w:rsid w:val="00B84B87"/>
    <w:rsid w:val="00B85593"/>
    <w:rsid w:val="00B86199"/>
    <w:rsid w:val="00B863B5"/>
    <w:rsid w:val="00B87E62"/>
    <w:rsid w:val="00B913DD"/>
    <w:rsid w:val="00B91505"/>
    <w:rsid w:val="00B97A39"/>
    <w:rsid w:val="00B97A46"/>
    <w:rsid w:val="00BA52E7"/>
    <w:rsid w:val="00BA7287"/>
    <w:rsid w:val="00BA787F"/>
    <w:rsid w:val="00BA79CF"/>
    <w:rsid w:val="00BB784B"/>
    <w:rsid w:val="00BC28D4"/>
    <w:rsid w:val="00BC2E60"/>
    <w:rsid w:val="00BC435D"/>
    <w:rsid w:val="00BC5283"/>
    <w:rsid w:val="00BC5287"/>
    <w:rsid w:val="00BD12BC"/>
    <w:rsid w:val="00BD1DEB"/>
    <w:rsid w:val="00BD322A"/>
    <w:rsid w:val="00BD4956"/>
    <w:rsid w:val="00BE03A0"/>
    <w:rsid w:val="00BE31BD"/>
    <w:rsid w:val="00BF1D97"/>
    <w:rsid w:val="00BF2A75"/>
    <w:rsid w:val="00BF30D5"/>
    <w:rsid w:val="00BF7426"/>
    <w:rsid w:val="00C0141D"/>
    <w:rsid w:val="00C0207D"/>
    <w:rsid w:val="00C027A6"/>
    <w:rsid w:val="00C047BA"/>
    <w:rsid w:val="00C04BE8"/>
    <w:rsid w:val="00C05D9B"/>
    <w:rsid w:val="00C06A9E"/>
    <w:rsid w:val="00C0734E"/>
    <w:rsid w:val="00C0752A"/>
    <w:rsid w:val="00C10BE7"/>
    <w:rsid w:val="00C125BA"/>
    <w:rsid w:val="00C13F49"/>
    <w:rsid w:val="00C1560C"/>
    <w:rsid w:val="00C15C42"/>
    <w:rsid w:val="00C167E4"/>
    <w:rsid w:val="00C218FA"/>
    <w:rsid w:val="00C21D82"/>
    <w:rsid w:val="00C22C10"/>
    <w:rsid w:val="00C242DA"/>
    <w:rsid w:val="00C24FCD"/>
    <w:rsid w:val="00C25264"/>
    <w:rsid w:val="00C25AC1"/>
    <w:rsid w:val="00C2656D"/>
    <w:rsid w:val="00C26911"/>
    <w:rsid w:val="00C2794C"/>
    <w:rsid w:val="00C30C84"/>
    <w:rsid w:val="00C31CCE"/>
    <w:rsid w:val="00C3412D"/>
    <w:rsid w:val="00C36848"/>
    <w:rsid w:val="00C36F5F"/>
    <w:rsid w:val="00C37C59"/>
    <w:rsid w:val="00C40CDD"/>
    <w:rsid w:val="00C41464"/>
    <w:rsid w:val="00C50894"/>
    <w:rsid w:val="00C5496E"/>
    <w:rsid w:val="00C555B3"/>
    <w:rsid w:val="00C5583F"/>
    <w:rsid w:val="00C60AAE"/>
    <w:rsid w:val="00C618F0"/>
    <w:rsid w:val="00C61D05"/>
    <w:rsid w:val="00C639D4"/>
    <w:rsid w:val="00C6447E"/>
    <w:rsid w:val="00C64684"/>
    <w:rsid w:val="00C65310"/>
    <w:rsid w:val="00C70484"/>
    <w:rsid w:val="00C7171F"/>
    <w:rsid w:val="00C73024"/>
    <w:rsid w:val="00C74E90"/>
    <w:rsid w:val="00C75CF5"/>
    <w:rsid w:val="00C772FC"/>
    <w:rsid w:val="00C774C3"/>
    <w:rsid w:val="00C80980"/>
    <w:rsid w:val="00C840AE"/>
    <w:rsid w:val="00C86EC4"/>
    <w:rsid w:val="00C91BD5"/>
    <w:rsid w:val="00C91ECC"/>
    <w:rsid w:val="00C92B9C"/>
    <w:rsid w:val="00C96A62"/>
    <w:rsid w:val="00CA0FD7"/>
    <w:rsid w:val="00CA13E5"/>
    <w:rsid w:val="00CA1D33"/>
    <w:rsid w:val="00CA4E97"/>
    <w:rsid w:val="00CA6E9F"/>
    <w:rsid w:val="00CB3000"/>
    <w:rsid w:val="00CB4B71"/>
    <w:rsid w:val="00CB710F"/>
    <w:rsid w:val="00CB7D9C"/>
    <w:rsid w:val="00CC0850"/>
    <w:rsid w:val="00CC0C7F"/>
    <w:rsid w:val="00CC56C3"/>
    <w:rsid w:val="00CC697D"/>
    <w:rsid w:val="00CC6C4A"/>
    <w:rsid w:val="00CD05F8"/>
    <w:rsid w:val="00CD164F"/>
    <w:rsid w:val="00CD70E9"/>
    <w:rsid w:val="00CD7E4F"/>
    <w:rsid w:val="00CE364F"/>
    <w:rsid w:val="00CE3BF1"/>
    <w:rsid w:val="00CE5961"/>
    <w:rsid w:val="00CE5FAA"/>
    <w:rsid w:val="00CF26A7"/>
    <w:rsid w:val="00CF4CF0"/>
    <w:rsid w:val="00CF58F0"/>
    <w:rsid w:val="00CF669F"/>
    <w:rsid w:val="00CF6E0E"/>
    <w:rsid w:val="00CF71D8"/>
    <w:rsid w:val="00D032C5"/>
    <w:rsid w:val="00D04C83"/>
    <w:rsid w:val="00D06E0D"/>
    <w:rsid w:val="00D07632"/>
    <w:rsid w:val="00D07AF1"/>
    <w:rsid w:val="00D10A0E"/>
    <w:rsid w:val="00D16513"/>
    <w:rsid w:val="00D17477"/>
    <w:rsid w:val="00D21FDF"/>
    <w:rsid w:val="00D23F91"/>
    <w:rsid w:val="00D252A1"/>
    <w:rsid w:val="00D260DF"/>
    <w:rsid w:val="00D32BB4"/>
    <w:rsid w:val="00D350CB"/>
    <w:rsid w:val="00D368DD"/>
    <w:rsid w:val="00D3698A"/>
    <w:rsid w:val="00D43547"/>
    <w:rsid w:val="00D43B0D"/>
    <w:rsid w:val="00D465F1"/>
    <w:rsid w:val="00D5239A"/>
    <w:rsid w:val="00D5317C"/>
    <w:rsid w:val="00D53D5C"/>
    <w:rsid w:val="00D549A4"/>
    <w:rsid w:val="00D564D6"/>
    <w:rsid w:val="00D56E0F"/>
    <w:rsid w:val="00D57726"/>
    <w:rsid w:val="00D66823"/>
    <w:rsid w:val="00D66B22"/>
    <w:rsid w:val="00D733FC"/>
    <w:rsid w:val="00D7440B"/>
    <w:rsid w:val="00D80C9A"/>
    <w:rsid w:val="00D80D7F"/>
    <w:rsid w:val="00D817A7"/>
    <w:rsid w:val="00D85A88"/>
    <w:rsid w:val="00D85E59"/>
    <w:rsid w:val="00D86525"/>
    <w:rsid w:val="00D87C8F"/>
    <w:rsid w:val="00D92AA2"/>
    <w:rsid w:val="00D93749"/>
    <w:rsid w:val="00D951D6"/>
    <w:rsid w:val="00D971F7"/>
    <w:rsid w:val="00D97789"/>
    <w:rsid w:val="00D9787C"/>
    <w:rsid w:val="00DA1328"/>
    <w:rsid w:val="00DB1730"/>
    <w:rsid w:val="00DB1F8D"/>
    <w:rsid w:val="00DB26B2"/>
    <w:rsid w:val="00DB62E9"/>
    <w:rsid w:val="00DB6F56"/>
    <w:rsid w:val="00DB7AB2"/>
    <w:rsid w:val="00DC0804"/>
    <w:rsid w:val="00DC2493"/>
    <w:rsid w:val="00DC570D"/>
    <w:rsid w:val="00DD0300"/>
    <w:rsid w:val="00DD1D54"/>
    <w:rsid w:val="00DD5B94"/>
    <w:rsid w:val="00DD5E6C"/>
    <w:rsid w:val="00DD6030"/>
    <w:rsid w:val="00DE0AD7"/>
    <w:rsid w:val="00DE47D1"/>
    <w:rsid w:val="00DE496B"/>
    <w:rsid w:val="00DE4A57"/>
    <w:rsid w:val="00DE4C19"/>
    <w:rsid w:val="00DE747A"/>
    <w:rsid w:val="00DF0A8D"/>
    <w:rsid w:val="00DF1BB9"/>
    <w:rsid w:val="00DF22D1"/>
    <w:rsid w:val="00DF260D"/>
    <w:rsid w:val="00DF3164"/>
    <w:rsid w:val="00DF66CC"/>
    <w:rsid w:val="00DF6D56"/>
    <w:rsid w:val="00DF6F02"/>
    <w:rsid w:val="00DF760E"/>
    <w:rsid w:val="00DF7C68"/>
    <w:rsid w:val="00DF7DF6"/>
    <w:rsid w:val="00E01ABD"/>
    <w:rsid w:val="00E02A9C"/>
    <w:rsid w:val="00E049DA"/>
    <w:rsid w:val="00E05D9F"/>
    <w:rsid w:val="00E10809"/>
    <w:rsid w:val="00E11557"/>
    <w:rsid w:val="00E129F8"/>
    <w:rsid w:val="00E1427D"/>
    <w:rsid w:val="00E1647B"/>
    <w:rsid w:val="00E205D9"/>
    <w:rsid w:val="00E24B8E"/>
    <w:rsid w:val="00E2565F"/>
    <w:rsid w:val="00E26752"/>
    <w:rsid w:val="00E26A19"/>
    <w:rsid w:val="00E26B00"/>
    <w:rsid w:val="00E30AFB"/>
    <w:rsid w:val="00E34BB7"/>
    <w:rsid w:val="00E41053"/>
    <w:rsid w:val="00E531CC"/>
    <w:rsid w:val="00E53465"/>
    <w:rsid w:val="00E54D56"/>
    <w:rsid w:val="00E554BB"/>
    <w:rsid w:val="00E575CD"/>
    <w:rsid w:val="00E57A1A"/>
    <w:rsid w:val="00E60B8D"/>
    <w:rsid w:val="00E65D61"/>
    <w:rsid w:val="00E7428C"/>
    <w:rsid w:val="00E74321"/>
    <w:rsid w:val="00E82AC6"/>
    <w:rsid w:val="00E8437B"/>
    <w:rsid w:val="00E845FC"/>
    <w:rsid w:val="00E84B32"/>
    <w:rsid w:val="00E85879"/>
    <w:rsid w:val="00E85D03"/>
    <w:rsid w:val="00E85FED"/>
    <w:rsid w:val="00E86755"/>
    <w:rsid w:val="00E919BA"/>
    <w:rsid w:val="00E94C77"/>
    <w:rsid w:val="00E95AE0"/>
    <w:rsid w:val="00EA0E1B"/>
    <w:rsid w:val="00EA28AE"/>
    <w:rsid w:val="00EA3B3F"/>
    <w:rsid w:val="00EA4069"/>
    <w:rsid w:val="00EA457E"/>
    <w:rsid w:val="00EA5560"/>
    <w:rsid w:val="00EA5672"/>
    <w:rsid w:val="00EA593E"/>
    <w:rsid w:val="00EA6FE0"/>
    <w:rsid w:val="00EA7E1B"/>
    <w:rsid w:val="00EB08DE"/>
    <w:rsid w:val="00EB4B00"/>
    <w:rsid w:val="00EC129B"/>
    <w:rsid w:val="00EC1C29"/>
    <w:rsid w:val="00EC274D"/>
    <w:rsid w:val="00EC2C7F"/>
    <w:rsid w:val="00EC3318"/>
    <w:rsid w:val="00EC3B24"/>
    <w:rsid w:val="00EC55FD"/>
    <w:rsid w:val="00ED0525"/>
    <w:rsid w:val="00ED0BD0"/>
    <w:rsid w:val="00ED1DAD"/>
    <w:rsid w:val="00ED383E"/>
    <w:rsid w:val="00ED4C19"/>
    <w:rsid w:val="00ED6438"/>
    <w:rsid w:val="00EE0C79"/>
    <w:rsid w:val="00EE2856"/>
    <w:rsid w:val="00EE28C7"/>
    <w:rsid w:val="00EE303B"/>
    <w:rsid w:val="00EE3643"/>
    <w:rsid w:val="00EE451F"/>
    <w:rsid w:val="00EE49F7"/>
    <w:rsid w:val="00EE561C"/>
    <w:rsid w:val="00EE6070"/>
    <w:rsid w:val="00EF12F9"/>
    <w:rsid w:val="00EF306E"/>
    <w:rsid w:val="00EF45C8"/>
    <w:rsid w:val="00EF7E1C"/>
    <w:rsid w:val="00F0064C"/>
    <w:rsid w:val="00F006E0"/>
    <w:rsid w:val="00F01622"/>
    <w:rsid w:val="00F0304F"/>
    <w:rsid w:val="00F042F7"/>
    <w:rsid w:val="00F062BC"/>
    <w:rsid w:val="00F076CF"/>
    <w:rsid w:val="00F11648"/>
    <w:rsid w:val="00F14444"/>
    <w:rsid w:val="00F17C15"/>
    <w:rsid w:val="00F2143B"/>
    <w:rsid w:val="00F244E2"/>
    <w:rsid w:val="00F25BCA"/>
    <w:rsid w:val="00F27E79"/>
    <w:rsid w:val="00F3036F"/>
    <w:rsid w:val="00F304B3"/>
    <w:rsid w:val="00F30705"/>
    <w:rsid w:val="00F31C24"/>
    <w:rsid w:val="00F33CC5"/>
    <w:rsid w:val="00F3461F"/>
    <w:rsid w:val="00F36BD1"/>
    <w:rsid w:val="00F40800"/>
    <w:rsid w:val="00F416D8"/>
    <w:rsid w:val="00F41A11"/>
    <w:rsid w:val="00F468B9"/>
    <w:rsid w:val="00F510ED"/>
    <w:rsid w:val="00F515FA"/>
    <w:rsid w:val="00F518F4"/>
    <w:rsid w:val="00F52B46"/>
    <w:rsid w:val="00F53A5B"/>
    <w:rsid w:val="00F53E16"/>
    <w:rsid w:val="00F57910"/>
    <w:rsid w:val="00F63CDD"/>
    <w:rsid w:val="00F728C3"/>
    <w:rsid w:val="00F7399E"/>
    <w:rsid w:val="00F746A0"/>
    <w:rsid w:val="00F7682B"/>
    <w:rsid w:val="00F7790D"/>
    <w:rsid w:val="00F810CA"/>
    <w:rsid w:val="00F812FC"/>
    <w:rsid w:val="00F8131C"/>
    <w:rsid w:val="00F87102"/>
    <w:rsid w:val="00F8722B"/>
    <w:rsid w:val="00F8761D"/>
    <w:rsid w:val="00F90163"/>
    <w:rsid w:val="00F91DBA"/>
    <w:rsid w:val="00F9203A"/>
    <w:rsid w:val="00F94442"/>
    <w:rsid w:val="00F95372"/>
    <w:rsid w:val="00F96340"/>
    <w:rsid w:val="00F9773C"/>
    <w:rsid w:val="00FA36B1"/>
    <w:rsid w:val="00FA6E85"/>
    <w:rsid w:val="00FA7049"/>
    <w:rsid w:val="00FA72FF"/>
    <w:rsid w:val="00FA77F9"/>
    <w:rsid w:val="00FB29E6"/>
    <w:rsid w:val="00FB7C4E"/>
    <w:rsid w:val="00FC22D1"/>
    <w:rsid w:val="00FC32B8"/>
    <w:rsid w:val="00FC49BA"/>
    <w:rsid w:val="00FC51EA"/>
    <w:rsid w:val="00FD2738"/>
    <w:rsid w:val="00FD3CF2"/>
    <w:rsid w:val="00FD3DE2"/>
    <w:rsid w:val="00FD40C5"/>
    <w:rsid w:val="00FD7456"/>
    <w:rsid w:val="00FE183B"/>
    <w:rsid w:val="00FE3A2A"/>
    <w:rsid w:val="00FE3C4B"/>
    <w:rsid w:val="00FE52F9"/>
    <w:rsid w:val="00FE5F9E"/>
    <w:rsid w:val="00FE6850"/>
    <w:rsid w:val="00FE7261"/>
    <w:rsid w:val="00FF004C"/>
    <w:rsid w:val="00FF019B"/>
    <w:rsid w:val="00FF54FA"/>
    <w:rsid w:val="00FF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993FC77"/>
  <w15:docId w15:val="{08324ABA-8185-4BE4-A9C8-AC2500C3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uiPriority w:val="99"/>
    <w:rsid w:val="00ED0BD0"/>
    <w:pPr>
      <w:tabs>
        <w:tab w:val="center" w:pos="4153"/>
        <w:tab w:val="right" w:pos="8306"/>
      </w:tabs>
    </w:pPr>
    <w:rPr>
      <w:sz w:val="22"/>
      <w:szCs w:val="22"/>
      <w:lang w:val="en-US"/>
    </w:rPr>
  </w:style>
  <w:style w:type="table" w:styleId="TableGrid">
    <w:name w:val="Table Grid"/>
    <w:basedOn w:val="TableNormal"/>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uiPriority w:val="34"/>
    <w:qFormat/>
    <w:rsid w:val="00354090"/>
    <w:pPr>
      <w:ind w:left="720"/>
      <w:contextualSpacing/>
    </w:pPr>
    <w:rPr>
      <w:rFonts w:cs="Arial"/>
      <w:szCs w:val="24"/>
      <w:lang w:eastAsia="en-GB"/>
    </w:rPr>
  </w:style>
  <w:style w:type="character" w:styleId="CommentReference">
    <w:name w:val="annotation reference"/>
    <w:semiHidden/>
    <w:unhideWhenUsed/>
    <w:rsid w:val="009E4A8F"/>
    <w:rPr>
      <w:sz w:val="16"/>
      <w:szCs w:val="16"/>
    </w:rPr>
  </w:style>
  <w:style w:type="paragraph" w:styleId="CommentText">
    <w:name w:val="annotation text"/>
    <w:basedOn w:val="Normal"/>
    <w:link w:val="CommentTextChar"/>
    <w:semiHidden/>
    <w:unhideWhenUsed/>
    <w:rsid w:val="009E4A8F"/>
    <w:rPr>
      <w:sz w:val="20"/>
    </w:rPr>
  </w:style>
  <w:style w:type="character" w:customStyle="1" w:styleId="CommentTextChar">
    <w:name w:val="Comment Text Char"/>
    <w:basedOn w:val="DefaultParagraphFont"/>
    <w:link w:val="CommentText"/>
    <w:semiHidden/>
    <w:rsid w:val="009E4A8F"/>
    <w:rPr>
      <w:rFonts w:ascii="Arial" w:hAnsi="Arial"/>
      <w:lang w:eastAsia="en-US"/>
    </w:rPr>
  </w:style>
  <w:style w:type="paragraph" w:styleId="CommentSubject">
    <w:name w:val="annotation subject"/>
    <w:basedOn w:val="CommentText"/>
    <w:next w:val="CommentText"/>
    <w:link w:val="CommentSubjectChar"/>
    <w:semiHidden/>
    <w:unhideWhenUsed/>
    <w:rsid w:val="00E205D9"/>
    <w:rPr>
      <w:b/>
      <w:bCs/>
    </w:rPr>
  </w:style>
  <w:style w:type="character" w:customStyle="1" w:styleId="CommentSubjectChar">
    <w:name w:val="Comment Subject Char"/>
    <w:basedOn w:val="CommentTextChar"/>
    <w:link w:val="CommentSubject"/>
    <w:semiHidden/>
    <w:rsid w:val="00E205D9"/>
    <w:rPr>
      <w:rFonts w:ascii="Arial" w:hAnsi="Arial"/>
      <w:b/>
      <w:bCs/>
      <w:lang w:eastAsia="en-US"/>
    </w:rPr>
  </w:style>
  <w:style w:type="character" w:styleId="Strong">
    <w:name w:val="Strong"/>
    <w:basedOn w:val="DefaultParagraphFont"/>
    <w:qFormat/>
    <w:rsid w:val="000954BE"/>
    <w:rPr>
      <w:b/>
      <w:bCs/>
    </w:rPr>
  </w:style>
  <w:style w:type="character" w:styleId="Emphasis">
    <w:name w:val="Emphasis"/>
    <w:basedOn w:val="DefaultParagraphFont"/>
    <w:qFormat/>
    <w:rsid w:val="000954BE"/>
    <w:rPr>
      <w:i/>
      <w:iCs/>
    </w:rPr>
  </w:style>
  <w:style w:type="paragraph" w:styleId="TOCHeading">
    <w:name w:val="TOC Heading"/>
    <w:basedOn w:val="Heading1"/>
    <w:next w:val="Normal"/>
    <w:uiPriority w:val="39"/>
    <w:unhideWhenUsed/>
    <w:qFormat/>
    <w:rsid w:val="000954BE"/>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 w:type="paragraph" w:styleId="TOC2">
    <w:name w:val="toc 2"/>
    <w:basedOn w:val="Normal"/>
    <w:next w:val="Normal"/>
    <w:autoRedefine/>
    <w:uiPriority w:val="39"/>
    <w:unhideWhenUsed/>
    <w:rsid w:val="000954BE"/>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0954BE"/>
    <w:pPr>
      <w:spacing w:after="100" w:line="259" w:lineRule="auto"/>
      <w:ind w:left="440"/>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9052A5"/>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3144609">
      <w:bodyDiv w:val="1"/>
      <w:marLeft w:val="0"/>
      <w:marRight w:val="0"/>
      <w:marTop w:val="0"/>
      <w:marBottom w:val="0"/>
      <w:divBdr>
        <w:top w:val="none" w:sz="0" w:space="0" w:color="auto"/>
        <w:left w:val="none" w:sz="0" w:space="0" w:color="auto"/>
        <w:bottom w:val="none" w:sz="0" w:space="0" w:color="auto"/>
        <w:right w:val="none" w:sz="0" w:space="0" w:color="auto"/>
      </w:divBdr>
    </w:div>
    <w:div w:id="87484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fleetinsuranceclaims@secamb.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20smith\AppData\Local\Microsoft\Windows\Temporary%20Internet%20Files\Content.IE5\YR57NY6D\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467e2b2-5dd5-4dd5-8b9a-9dbc68454732" xsi:nil="true"/>
    <lcf76f155ced4ddcb4097134ff3c332f xmlns="16816860-cc08-49d2-a37a-eaa1d2fca447">
      <Terms xmlns="http://schemas.microsoft.com/office/infopath/2007/PartnerControls"/>
    </lcf76f155ced4ddcb4097134ff3c332f>
    <Comments xmlns="16816860-cc08-49d2-a37a-eaa1d2fca447" xsi:nil="true"/>
    <Status xmlns="16816860-cc08-49d2-a37a-eaa1d2fca4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BFCA3F8AC92A4D83F92D4B7A9BB8B8" ma:contentTypeVersion="12" ma:contentTypeDescription="Create a new document." ma:contentTypeScope="" ma:versionID="d4f52f090948848ba8e44c0dc7e1fe47">
  <xsd:schema xmlns:xsd="http://www.w3.org/2001/XMLSchema" xmlns:xs="http://www.w3.org/2001/XMLSchema" xmlns:p="http://schemas.microsoft.com/office/2006/metadata/properties" xmlns:ns2="16816860-cc08-49d2-a37a-eaa1d2fca447" xmlns:ns3="0467e2b2-5dd5-4dd5-8b9a-9dbc68454732" targetNamespace="http://schemas.microsoft.com/office/2006/metadata/properties" ma:root="true" ma:fieldsID="ff8a116d43121c42b5b5dfc21b70bf48" ns2:_="" ns3:_="">
    <xsd:import namespace="16816860-cc08-49d2-a37a-eaa1d2fca447"/>
    <xsd:import namespace="0467e2b2-5dd5-4dd5-8b9a-9dbc68454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16860-cc08-49d2-a37a-eaa1d2fca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Status" ma:index="19" nillable="true" ma:displayName="Status" ma:format="Dropdown" ma:internalName="Status">
      <xsd:simpleType>
        <xsd:restriction base="dms:Choice">
          <xsd:enumeration value="To Do"/>
          <xsd:enumeration value="In Proc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467e2b2-5dd5-4dd5-8b9a-9dbc684547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7f8ec7-ad1b-4154-b866-35e4c6d14f79}" ma:internalName="TaxCatchAll" ma:showField="CatchAllData" ma:web="0467e2b2-5dd5-4dd5-8b9a-9dbc68454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66629-738B-48BF-B908-78214DECFAFF}">
  <ds:schemaRefs>
    <ds:schemaRef ds:uri="http://schemas.microsoft.com/office/2006/metadata/properties"/>
  </ds:schemaRefs>
</ds:datastoreItem>
</file>

<file path=customXml/itemProps2.xml><?xml version="1.0" encoding="utf-8"?>
<ds:datastoreItem xmlns:ds="http://schemas.openxmlformats.org/officeDocument/2006/customXml" ds:itemID="{D23C4911-2837-4CED-8D7E-7D08EF7A592B}">
  <ds:schemaRefs>
    <ds:schemaRef ds:uri="http://schemas.openxmlformats.org/officeDocument/2006/bibliography"/>
  </ds:schemaRefs>
</ds:datastoreItem>
</file>

<file path=customXml/itemProps3.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4.xml><?xml version="1.0" encoding="utf-8"?>
<ds:datastoreItem xmlns:ds="http://schemas.openxmlformats.org/officeDocument/2006/customXml" ds:itemID="{4E4A999F-846F-467C-8D87-9CEF2D1C7FA1}"/>
</file>

<file path=docProps/app.xml><?xml version="1.0" encoding="utf-8"?>
<Properties xmlns="http://schemas.openxmlformats.org/officeDocument/2006/extended-properties" xmlns:vt="http://schemas.openxmlformats.org/officeDocument/2006/docPropsVTypes">
  <Template>Procedure_TemplateV5.0final[1]</Template>
  <TotalTime>1</TotalTime>
  <Pages>22</Pages>
  <Words>5581</Words>
  <Characters>30198</Characters>
  <Application>Microsoft Office Word</Application>
  <DocSecurity>4</DocSecurity>
  <Lines>816</Lines>
  <Paragraphs>372</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35407</CharactersWithSpaces>
  <SharedDoc>false</SharedDoc>
  <HLinks>
    <vt:vector size="48" baseType="variant">
      <vt:variant>
        <vt:i4>1441855</vt:i4>
      </vt:variant>
      <vt:variant>
        <vt:i4>44</vt:i4>
      </vt:variant>
      <vt:variant>
        <vt:i4>0</vt:i4>
      </vt:variant>
      <vt:variant>
        <vt:i4>5</vt:i4>
      </vt:variant>
      <vt:variant>
        <vt:lpwstr/>
      </vt:variant>
      <vt:variant>
        <vt:lpwstr>_Toc287424893</vt:lpwstr>
      </vt:variant>
      <vt:variant>
        <vt:i4>1441855</vt:i4>
      </vt:variant>
      <vt:variant>
        <vt:i4>38</vt:i4>
      </vt:variant>
      <vt:variant>
        <vt:i4>0</vt:i4>
      </vt:variant>
      <vt:variant>
        <vt:i4>5</vt:i4>
      </vt:variant>
      <vt:variant>
        <vt:lpwstr/>
      </vt:variant>
      <vt:variant>
        <vt:lpwstr>_Toc287424892</vt:lpwstr>
      </vt:variant>
      <vt:variant>
        <vt:i4>1441855</vt:i4>
      </vt:variant>
      <vt:variant>
        <vt:i4>32</vt:i4>
      </vt:variant>
      <vt:variant>
        <vt:i4>0</vt:i4>
      </vt:variant>
      <vt:variant>
        <vt:i4>5</vt:i4>
      </vt:variant>
      <vt:variant>
        <vt:lpwstr/>
      </vt:variant>
      <vt:variant>
        <vt:lpwstr>_Toc287424891</vt:lpwstr>
      </vt:variant>
      <vt:variant>
        <vt:i4>1441855</vt:i4>
      </vt:variant>
      <vt:variant>
        <vt:i4>26</vt:i4>
      </vt:variant>
      <vt:variant>
        <vt:i4>0</vt:i4>
      </vt:variant>
      <vt:variant>
        <vt:i4>5</vt:i4>
      </vt:variant>
      <vt:variant>
        <vt:lpwstr/>
      </vt:variant>
      <vt:variant>
        <vt:lpwstr>_Toc287424890</vt:lpwstr>
      </vt:variant>
      <vt:variant>
        <vt:i4>1507391</vt:i4>
      </vt:variant>
      <vt:variant>
        <vt:i4>20</vt:i4>
      </vt:variant>
      <vt:variant>
        <vt:i4>0</vt:i4>
      </vt:variant>
      <vt:variant>
        <vt:i4>5</vt:i4>
      </vt:variant>
      <vt:variant>
        <vt:lpwstr/>
      </vt:variant>
      <vt:variant>
        <vt:lpwstr>_Toc287424889</vt:lpwstr>
      </vt:variant>
      <vt:variant>
        <vt:i4>1507391</vt:i4>
      </vt:variant>
      <vt:variant>
        <vt:i4>14</vt:i4>
      </vt:variant>
      <vt:variant>
        <vt:i4>0</vt:i4>
      </vt:variant>
      <vt:variant>
        <vt:i4>5</vt:i4>
      </vt:variant>
      <vt:variant>
        <vt:lpwstr/>
      </vt:variant>
      <vt:variant>
        <vt:lpwstr>_Toc287424888</vt:lpwstr>
      </vt:variant>
      <vt:variant>
        <vt:i4>1507391</vt:i4>
      </vt:variant>
      <vt:variant>
        <vt:i4>8</vt:i4>
      </vt:variant>
      <vt:variant>
        <vt:i4>0</vt:i4>
      </vt:variant>
      <vt:variant>
        <vt:i4>5</vt:i4>
      </vt:variant>
      <vt:variant>
        <vt:lpwstr/>
      </vt:variant>
      <vt:variant>
        <vt:lpwstr>_Toc287424887</vt:lpwstr>
      </vt:variant>
      <vt:variant>
        <vt:i4>1507391</vt:i4>
      </vt:variant>
      <vt:variant>
        <vt:i4>2</vt:i4>
      </vt:variant>
      <vt:variant>
        <vt:i4>0</vt:i4>
      </vt:variant>
      <vt:variant>
        <vt:i4>5</vt:i4>
      </vt:variant>
      <vt:variant>
        <vt:lpwstr/>
      </vt:variant>
      <vt:variant>
        <vt:lpwstr>_Toc287424886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Anita Smith</dc:creator>
  <cp:keywords/>
  <dc:description/>
  <cp:lastModifiedBy>Juliana Umoh</cp:lastModifiedBy>
  <cp:revision>2</cp:revision>
  <cp:lastPrinted>2018-04-20T06:22:00Z</cp:lastPrinted>
  <dcterms:created xsi:type="dcterms:W3CDTF">2026-02-06T11:53:00Z</dcterms:created>
  <dcterms:modified xsi:type="dcterms:W3CDTF">2026-02-06T11:53:00Z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0x010100B4BFCA3F8AC92A4D83F92D4B7A9BB8B8</vt:lpwstr>
  </property>
  <property fmtid="{D5CDD505-2E9C-101B-9397-08002B2CF9AE}" pid="3" name="Order">
    <vt:r8>232400</vt:r8>
  </property>
  <property fmtid="{D5CDD505-2E9C-101B-9397-08002B2CF9AE}" pid="4" name="_ExtendedDescription">
    <vt:lpwstr/>
  </property>
</Properties>
</file>