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4" w14:textId="77777777" w:rsidR="00C7069F" w:rsidRDefault="00C7069F" w:rsidP="0077112F">
      <w:pPr>
        <w:pStyle w:val="Style1"/>
        <w:spacing w:before="240"/>
        <w:rPr>
          <w:b/>
        </w:rPr>
      </w:pPr>
    </w:p>
    <w:p w14:paraId="2B588055" w14:textId="77777777" w:rsidR="00C7069F" w:rsidRDefault="00C7069F" w:rsidP="0077112F">
      <w:pPr>
        <w:pStyle w:val="Style1"/>
        <w:spacing w:before="240"/>
        <w:rPr>
          <w:b/>
        </w:rPr>
      </w:pPr>
    </w:p>
    <w:p w14:paraId="2B588056" w14:textId="77777777" w:rsidR="00C7069F" w:rsidRDefault="00C7069F" w:rsidP="0077112F">
      <w:pPr>
        <w:pStyle w:val="Style1"/>
        <w:spacing w:before="240"/>
        <w:rPr>
          <w:b/>
        </w:rPr>
      </w:pPr>
    </w:p>
    <w:p w14:paraId="2B58805B" w14:textId="68A5B915" w:rsidR="00C7069F" w:rsidRDefault="00C7069F" w:rsidP="0077112F">
      <w:pPr>
        <w:pStyle w:val="Style1"/>
        <w:spacing w:before="240"/>
        <w:rPr>
          <w:b/>
        </w:rPr>
      </w:pPr>
    </w:p>
    <w:p w14:paraId="6F81F349" w14:textId="397F47B6" w:rsidR="0015506B" w:rsidRPr="0015506B" w:rsidRDefault="0015507C" w:rsidP="0077112F">
      <w:pPr>
        <w:pStyle w:val="Style1"/>
        <w:jc w:val="center"/>
        <w:rPr>
          <w:b/>
          <w:sz w:val="32"/>
          <w:szCs w:val="32"/>
        </w:rPr>
      </w:pPr>
      <w:r>
        <w:rPr>
          <w:b/>
          <w:sz w:val="32"/>
          <w:szCs w:val="32"/>
        </w:rPr>
        <w:t>W</w:t>
      </w:r>
      <w:r w:rsidR="0015506B" w:rsidRPr="0015506B">
        <w:rPr>
          <w:b/>
          <w:sz w:val="32"/>
          <w:szCs w:val="32"/>
        </w:rPr>
        <w:t>ork</w:t>
      </w:r>
      <w:r>
        <w:rPr>
          <w:b/>
          <w:sz w:val="32"/>
          <w:szCs w:val="32"/>
        </w:rPr>
        <w:t xml:space="preserve">ing at Heights </w:t>
      </w:r>
      <w:r w:rsidR="0015506B" w:rsidRPr="0015506B">
        <w:rPr>
          <w:b/>
          <w:sz w:val="32"/>
          <w:szCs w:val="32"/>
        </w:rPr>
        <w:t>Policy</w:t>
      </w:r>
    </w:p>
    <w:p w14:paraId="675F1ACC" w14:textId="77777777" w:rsidR="0015506B" w:rsidRPr="0015506B" w:rsidRDefault="0015506B" w:rsidP="0077112F">
      <w:pPr>
        <w:pStyle w:val="Style1"/>
        <w:jc w:val="center"/>
        <w:rPr>
          <w:b/>
          <w:sz w:val="32"/>
          <w:szCs w:val="32"/>
        </w:rPr>
      </w:pPr>
    </w:p>
    <w:p w14:paraId="2B58805E" w14:textId="48643605" w:rsidR="00C7069F" w:rsidRPr="0040381C" w:rsidRDefault="00C7069F" w:rsidP="0077112F">
      <w:pPr>
        <w:pStyle w:val="Style1"/>
        <w:jc w:val="center"/>
        <w:rPr>
          <w:szCs w:val="32"/>
        </w:rPr>
      </w:pPr>
    </w:p>
    <w:p w14:paraId="52C998A8" w14:textId="77777777" w:rsidR="00FA3B13" w:rsidRPr="0040381C" w:rsidRDefault="00FA3B13" w:rsidP="0077112F">
      <w:pPr>
        <w:pStyle w:val="Style1"/>
        <w:rPr>
          <w:szCs w:val="32"/>
        </w:rPr>
      </w:pPr>
    </w:p>
    <w:p w14:paraId="5C03B538" w14:textId="77777777" w:rsidR="0040381C" w:rsidRDefault="0040381C" w:rsidP="0077112F">
      <w:pPr>
        <w:pStyle w:val="Style1"/>
        <w:rPr>
          <w:szCs w:val="32"/>
        </w:rPr>
      </w:pPr>
    </w:p>
    <w:p w14:paraId="375CBD7D" w14:textId="77777777" w:rsidR="008A62AA" w:rsidRPr="005B4E6A" w:rsidRDefault="008A62AA" w:rsidP="008A62AA">
      <w:pPr>
        <w:keepNext/>
        <w:keepLines/>
        <w:spacing w:after="240"/>
        <w:rPr>
          <w:rFonts w:cs="Arial"/>
        </w:rPr>
      </w:pPr>
      <w:bookmarkStart w:id="0" w:name="_Toc210802532"/>
    </w:p>
    <w:p w14:paraId="1EA6E1A8" w14:textId="77777777" w:rsidR="008A62AA" w:rsidRDefault="008A62AA">
      <w:pPr>
        <w:rPr>
          <w:b/>
        </w:rPr>
      </w:pPr>
      <w:r>
        <w:rPr>
          <w:b/>
        </w:rPr>
        <w:br w:type="page"/>
      </w:r>
    </w:p>
    <w:p w14:paraId="09C6917E" w14:textId="64B72B17" w:rsidR="007B6836" w:rsidRDefault="007B6836" w:rsidP="0040381C">
      <w:pPr>
        <w:rPr>
          <w:b/>
          <w:sz w:val="28"/>
        </w:rPr>
      </w:pPr>
    </w:p>
    <w:p w14:paraId="76F00A79" w14:textId="230F4680" w:rsidR="007B6836" w:rsidRDefault="007B6836" w:rsidP="0040381C">
      <w:pPr>
        <w:rPr>
          <w:b/>
          <w:sz w:val="28"/>
        </w:rPr>
      </w:pPr>
    </w:p>
    <w:sdt>
      <w:sdtPr>
        <w:rPr>
          <w:rFonts w:ascii="Arial" w:eastAsia="Times New Roman" w:hAnsi="Arial" w:cs="Times New Roman"/>
          <w:color w:val="auto"/>
          <w:sz w:val="24"/>
          <w:szCs w:val="20"/>
          <w:lang w:val="en-GB"/>
        </w:rPr>
        <w:id w:val="1657112101"/>
        <w:docPartObj>
          <w:docPartGallery w:val="Table of Contents"/>
          <w:docPartUnique/>
        </w:docPartObj>
      </w:sdtPr>
      <w:sdtEndPr>
        <w:rPr>
          <w:b/>
          <w:bCs/>
          <w:noProof/>
        </w:rPr>
      </w:sdtEndPr>
      <w:sdtContent>
        <w:p w14:paraId="48B8E16B" w14:textId="4C8DFDCC" w:rsidR="007B6836" w:rsidRDefault="007B6836">
          <w:pPr>
            <w:pStyle w:val="TOCHeading"/>
          </w:pPr>
          <w:r>
            <w:t>Table of Contents</w:t>
          </w:r>
        </w:p>
        <w:p w14:paraId="29AF7E85" w14:textId="529E5227" w:rsidR="00DA70E3" w:rsidRDefault="007B6836">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9109701" w:history="1">
            <w:r w:rsidR="00DA70E3" w:rsidRPr="008B1BB6">
              <w:rPr>
                <w:rStyle w:val="Hyperlink"/>
                <w:rFonts w:cs="Arial"/>
                <w:b/>
                <w:bCs/>
                <w:noProof/>
              </w:rPr>
              <w:t>Document Control</w:t>
            </w:r>
            <w:r w:rsidR="00DA70E3">
              <w:rPr>
                <w:noProof/>
                <w:webHidden/>
              </w:rPr>
              <w:tab/>
            </w:r>
            <w:r w:rsidR="00DA70E3">
              <w:rPr>
                <w:noProof/>
                <w:webHidden/>
              </w:rPr>
              <w:fldChar w:fldCharType="begin"/>
            </w:r>
            <w:r w:rsidR="00DA70E3">
              <w:rPr>
                <w:noProof/>
                <w:webHidden/>
              </w:rPr>
              <w:instrText xml:space="preserve"> PAGEREF _Toc219109701 \h </w:instrText>
            </w:r>
            <w:r w:rsidR="00DA70E3">
              <w:rPr>
                <w:noProof/>
                <w:webHidden/>
              </w:rPr>
            </w:r>
            <w:r w:rsidR="00DA70E3">
              <w:rPr>
                <w:noProof/>
                <w:webHidden/>
              </w:rPr>
              <w:fldChar w:fldCharType="separate"/>
            </w:r>
            <w:r w:rsidR="00DA70E3">
              <w:rPr>
                <w:noProof/>
                <w:webHidden/>
              </w:rPr>
              <w:t>2</w:t>
            </w:r>
            <w:r w:rsidR="00DA70E3">
              <w:rPr>
                <w:noProof/>
                <w:webHidden/>
              </w:rPr>
              <w:fldChar w:fldCharType="end"/>
            </w:r>
          </w:hyperlink>
        </w:p>
        <w:p w14:paraId="4C958C0F" w14:textId="27837A3C"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2" w:history="1">
            <w:r w:rsidRPr="008B1BB6">
              <w:rPr>
                <w:rStyle w:val="Hyperlink"/>
                <w:rFonts w:ascii="Arial Bold" w:hAnsi="Arial Bold" w:cs="Broadway"/>
                <w:b/>
                <w:caps/>
                <w:noProof/>
                <w:kern w:val="24"/>
              </w:rPr>
              <w:t>1</w:t>
            </w:r>
            <w:r>
              <w:rPr>
                <w:rFonts w:asciiTheme="minorHAnsi" w:eastAsiaTheme="minorEastAsia" w:hAnsiTheme="minorHAnsi" w:cstheme="minorBidi"/>
                <w:noProof/>
                <w:kern w:val="2"/>
                <w:szCs w:val="24"/>
                <w:lang w:eastAsia="en-GB"/>
                <w14:ligatures w14:val="standardContextual"/>
              </w:rPr>
              <w:tab/>
            </w:r>
            <w:r w:rsidRPr="008B1BB6">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_Toc219109702 \h </w:instrText>
            </w:r>
            <w:r>
              <w:rPr>
                <w:noProof/>
                <w:webHidden/>
              </w:rPr>
            </w:r>
            <w:r>
              <w:rPr>
                <w:noProof/>
                <w:webHidden/>
              </w:rPr>
              <w:fldChar w:fldCharType="separate"/>
            </w:r>
            <w:r>
              <w:rPr>
                <w:noProof/>
                <w:webHidden/>
              </w:rPr>
              <w:t>4</w:t>
            </w:r>
            <w:r>
              <w:rPr>
                <w:noProof/>
                <w:webHidden/>
              </w:rPr>
              <w:fldChar w:fldCharType="end"/>
            </w:r>
          </w:hyperlink>
        </w:p>
        <w:p w14:paraId="202AE9D4" w14:textId="4AC460FC"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3" w:history="1">
            <w:r w:rsidRPr="008B1BB6">
              <w:rPr>
                <w:rStyle w:val="Hyperlink"/>
                <w:rFonts w:ascii="Arial Bold" w:hAnsi="Arial Bold" w:cs="Broadway"/>
                <w:b/>
                <w:caps/>
                <w:noProof/>
                <w:kern w:val="24"/>
              </w:rPr>
              <w:t>2</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Principles</w:t>
            </w:r>
            <w:r>
              <w:rPr>
                <w:noProof/>
                <w:webHidden/>
              </w:rPr>
              <w:tab/>
            </w:r>
            <w:r>
              <w:rPr>
                <w:noProof/>
                <w:webHidden/>
              </w:rPr>
              <w:fldChar w:fldCharType="begin"/>
            </w:r>
            <w:r>
              <w:rPr>
                <w:noProof/>
                <w:webHidden/>
              </w:rPr>
              <w:instrText xml:space="preserve"> PAGEREF _Toc219109703 \h </w:instrText>
            </w:r>
            <w:r>
              <w:rPr>
                <w:noProof/>
                <w:webHidden/>
              </w:rPr>
            </w:r>
            <w:r>
              <w:rPr>
                <w:noProof/>
                <w:webHidden/>
              </w:rPr>
              <w:fldChar w:fldCharType="separate"/>
            </w:r>
            <w:r>
              <w:rPr>
                <w:noProof/>
                <w:webHidden/>
              </w:rPr>
              <w:t>5</w:t>
            </w:r>
            <w:r>
              <w:rPr>
                <w:noProof/>
                <w:webHidden/>
              </w:rPr>
              <w:fldChar w:fldCharType="end"/>
            </w:r>
          </w:hyperlink>
        </w:p>
        <w:p w14:paraId="29591D58" w14:textId="4FC7C608"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4" w:history="1">
            <w:r w:rsidRPr="008B1BB6">
              <w:rPr>
                <w:rStyle w:val="Hyperlink"/>
                <w:rFonts w:ascii="Arial Bold" w:hAnsi="Arial Bold" w:cs="Broadway"/>
                <w:b/>
                <w:caps/>
                <w:noProof/>
                <w:kern w:val="24"/>
              </w:rPr>
              <w:t>3</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Working at Heights – Overview</w:t>
            </w:r>
            <w:r>
              <w:rPr>
                <w:noProof/>
                <w:webHidden/>
              </w:rPr>
              <w:tab/>
            </w:r>
            <w:r>
              <w:rPr>
                <w:noProof/>
                <w:webHidden/>
              </w:rPr>
              <w:fldChar w:fldCharType="begin"/>
            </w:r>
            <w:r>
              <w:rPr>
                <w:noProof/>
                <w:webHidden/>
              </w:rPr>
              <w:instrText xml:space="preserve"> PAGEREF _Toc219109704 \h </w:instrText>
            </w:r>
            <w:r>
              <w:rPr>
                <w:noProof/>
                <w:webHidden/>
              </w:rPr>
            </w:r>
            <w:r>
              <w:rPr>
                <w:noProof/>
                <w:webHidden/>
              </w:rPr>
              <w:fldChar w:fldCharType="separate"/>
            </w:r>
            <w:r>
              <w:rPr>
                <w:noProof/>
                <w:webHidden/>
              </w:rPr>
              <w:t>5</w:t>
            </w:r>
            <w:r>
              <w:rPr>
                <w:noProof/>
                <w:webHidden/>
              </w:rPr>
              <w:fldChar w:fldCharType="end"/>
            </w:r>
          </w:hyperlink>
        </w:p>
        <w:p w14:paraId="5AC77CB4" w14:textId="611CB729"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5" w:history="1">
            <w:r w:rsidRPr="008B1BB6">
              <w:rPr>
                <w:rStyle w:val="Hyperlink"/>
                <w:rFonts w:ascii="Arial Bold" w:hAnsi="Arial Bold" w:cs="Broadway"/>
                <w:b/>
                <w:caps/>
                <w:noProof/>
                <w:kern w:val="24"/>
              </w:rPr>
              <w:t>4</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Definitions</w:t>
            </w:r>
            <w:r>
              <w:rPr>
                <w:noProof/>
                <w:webHidden/>
              </w:rPr>
              <w:tab/>
            </w:r>
            <w:r>
              <w:rPr>
                <w:noProof/>
                <w:webHidden/>
              </w:rPr>
              <w:fldChar w:fldCharType="begin"/>
            </w:r>
            <w:r>
              <w:rPr>
                <w:noProof/>
                <w:webHidden/>
              </w:rPr>
              <w:instrText xml:space="preserve"> PAGEREF _Toc219109705 \h </w:instrText>
            </w:r>
            <w:r>
              <w:rPr>
                <w:noProof/>
                <w:webHidden/>
              </w:rPr>
            </w:r>
            <w:r>
              <w:rPr>
                <w:noProof/>
                <w:webHidden/>
              </w:rPr>
              <w:fldChar w:fldCharType="separate"/>
            </w:r>
            <w:r>
              <w:rPr>
                <w:noProof/>
                <w:webHidden/>
              </w:rPr>
              <w:t>8</w:t>
            </w:r>
            <w:r>
              <w:rPr>
                <w:noProof/>
                <w:webHidden/>
              </w:rPr>
              <w:fldChar w:fldCharType="end"/>
            </w:r>
          </w:hyperlink>
        </w:p>
        <w:p w14:paraId="3207E706" w14:textId="3F052BFC"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6" w:history="1">
            <w:r w:rsidRPr="008B1BB6">
              <w:rPr>
                <w:rStyle w:val="Hyperlink"/>
                <w:rFonts w:ascii="Arial Bold" w:hAnsi="Arial Bold" w:cs="Broadway"/>
                <w:b/>
                <w:caps/>
                <w:noProof/>
                <w:kern w:val="24"/>
              </w:rPr>
              <w:t>5</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Responsibilities</w:t>
            </w:r>
            <w:r>
              <w:rPr>
                <w:noProof/>
                <w:webHidden/>
              </w:rPr>
              <w:tab/>
            </w:r>
            <w:r>
              <w:rPr>
                <w:noProof/>
                <w:webHidden/>
              </w:rPr>
              <w:fldChar w:fldCharType="begin"/>
            </w:r>
            <w:r>
              <w:rPr>
                <w:noProof/>
                <w:webHidden/>
              </w:rPr>
              <w:instrText xml:space="preserve"> PAGEREF _Toc219109706 \h </w:instrText>
            </w:r>
            <w:r>
              <w:rPr>
                <w:noProof/>
                <w:webHidden/>
              </w:rPr>
            </w:r>
            <w:r>
              <w:rPr>
                <w:noProof/>
                <w:webHidden/>
              </w:rPr>
              <w:fldChar w:fldCharType="separate"/>
            </w:r>
            <w:r>
              <w:rPr>
                <w:noProof/>
                <w:webHidden/>
              </w:rPr>
              <w:t>8</w:t>
            </w:r>
            <w:r>
              <w:rPr>
                <w:noProof/>
                <w:webHidden/>
              </w:rPr>
              <w:fldChar w:fldCharType="end"/>
            </w:r>
          </w:hyperlink>
        </w:p>
        <w:p w14:paraId="74369EA7" w14:textId="61AE6738"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7" w:history="1">
            <w:r w:rsidRPr="008B1BB6">
              <w:rPr>
                <w:rStyle w:val="Hyperlink"/>
                <w:rFonts w:ascii="Arial Bold" w:hAnsi="Arial Bold" w:cs="Broadway"/>
                <w:b/>
                <w:caps/>
                <w:noProof/>
                <w:kern w:val="24"/>
              </w:rPr>
              <w:t>6</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Education and Training</w:t>
            </w:r>
            <w:r>
              <w:rPr>
                <w:noProof/>
                <w:webHidden/>
              </w:rPr>
              <w:tab/>
            </w:r>
            <w:r>
              <w:rPr>
                <w:noProof/>
                <w:webHidden/>
              </w:rPr>
              <w:fldChar w:fldCharType="begin"/>
            </w:r>
            <w:r>
              <w:rPr>
                <w:noProof/>
                <w:webHidden/>
              </w:rPr>
              <w:instrText xml:space="preserve"> PAGEREF _Toc219109707 \h </w:instrText>
            </w:r>
            <w:r>
              <w:rPr>
                <w:noProof/>
                <w:webHidden/>
              </w:rPr>
            </w:r>
            <w:r>
              <w:rPr>
                <w:noProof/>
                <w:webHidden/>
              </w:rPr>
              <w:fldChar w:fldCharType="separate"/>
            </w:r>
            <w:r>
              <w:rPr>
                <w:noProof/>
                <w:webHidden/>
              </w:rPr>
              <w:t>9</w:t>
            </w:r>
            <w:r>
              <w:rPr>
                <w:noProof/>
                <w:webHidden/>
              </w:rPr>
              <w:fldChar w:fldCharType="end"/>
            </w:r>
          </w:hyperlink>
        </w:p>
        <w:p w14:paraId="6E7165D3" w14:textId="69DBD4FF"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8" w:history="1">
            <w:r w:rsidRPr="008B1BB6">
              <w:rPr>
                <w:rStyle w:val="Hyperlink"/>
                <w:rFonts w:ascii="Arial Bold" w:hAnsi="Arial Bold" w:cs="Broadway"/>
                <w:b/>
                <w:caps/>
                <w:noProof/>
                <w:kern w:val="24"/>
              </w:rPr>
              <w:t>7</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Monitoring Compliance</w:t>
            </w:r>
            <w:r>
              <w:rPr>
                <w:noProof/>
                <w:webHidden/>
              </w:rPr>
              <w:tab/>
            </w:r>
            <w:r>
              <w:rPr>
                <w:noProof/>
                <w:webHidden/>
              </w:rPr>
              <w:fldChar w:fldCharType="begin"/>
            </w:r>
            <w:r>
              <w:rPr>
                <w:noProof/>
                <w:webHidden/>
              </w:rPr>
              <w:instrText xml:space="preserve"> PAGEREF _Toc219109708 \h </w:instrText>
            </w:r>
            <w:r>
              <w:rPr>
                <w:noProof/>
                <w:webHidden/>
              </w:rPr>
            </w:r>
            <w:r>
              <w:rPr>
                <w:noProof/>
                <w:webHidden/>
              </w:rPr>
              <w:fldChar w:fldCharType="separate"/>
            </w:r>
            <w:r>
              <w:rPr>
                <w:noProof/>
                <w:webHidden/>
              </w:rPr>
              <w:t>9</w:t>
            </w:r>
            <w:r>
              <w:rPr>
                <w:noProof/>
                <w:webHidden/>
              </w:rPr>
              <w:fldChar w:fldCharType="end"/>
            </w:r>
          </w:hyperlink>
        </w:p>
        <w:p w14:paraId="0F5C44EB" w14:textId="2AE0A7AD"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09" w:history="1">
            <w:r w:rsidRPr="008B1BB6">
              <w:rPr>
                <w:rStyle w:val="Hyperlink"/>
                <w:rFonts w:ascii="Arial Bold" w:hAnsi="Arial Bold" w:cs="Broadway"/>
                <w:b/>
                <w:caps/>
                <w:noProof/>
                <w:kern w:val="24"/>
              </w:rPr>
              <w:t>8</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Audit and Review</w:t>
            </w:r>
            <w:r>
              <w:rPr>
                <w:noProof/>
                <w:webHidden/>
              </w:rPr>
              <w:tab/>
            </w:r>
            <w:r>
              <w:rPr>
                <w:noProof/>
                <w:webHidden/>
              </w:rPr>
              <w:fldChar w:fldCharType="begin"/>
            </w:r>
            <w:r>
              <w:rPr>
                <w:noProof/>
                <w:webHidden/>
              </w:rPr>
              <w:instrText xml:space="preserve"> PAGEREF _Toc219109709 \h </w:instrText>
            </w:r>
            <w:r>
              <w:rPr>
                <w:noProof/>
                <w:webHidden/>
              </w:rPr>
            </w:r>
            <w:r>
              <w:rPr>
                <w:noProof/>
                <w:webHidden/>
              </w:rPr>
              <w:fldChar w:fldCharType="separate"/>
            </w:r>
            <w:r>
              <w:rPr>
                <w:noProof/>
                <w:webHidden/>
              </w:rPr>
              <w:t>9</w:t>
            </w:r>
            <w:r>
              <w:rPr>
                <w:noProof/>
                <w:webHidden/>
              </w:rPr>
              <w:fldChar w:fldCharType="end"/>
            </w:r>
          </w:hyperlink>
        </w:p>
        <w:p w14:paraId="61CCA92F" w14:textId="57918725"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10" w:history="1">
            <w:r w:rsidRPr="008B1BB6">
              <w:rPr>
                <w:rStyle w:val="Hyperlink"/>
                <w:rFonts w:ascii="Arial Bold" w:hAnsi="Arial Bold" w:cs="Broadway"/>
                <w:b/>
                <w:caps/>
                <w:noProof/>
                <w:kern w:val="24"/>
              </w:rPr>
              <w:t>9</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Financial Checkpoint</w:t>
            </w:r>
            <w:r>
              <w:rPr>
                <w:noProof/>
                <w:webHidden/>
              </w:rPr>
              <w:tab/>
            </w:r>
            <w:r>
              <w:rPr>
                <w:noProof/>
                <w:webHidden/>
              </w:rPr>
              <w:fldChar w:fldCharType="begin"/>
            </w:r>
            <w:r>
              <w:rPr>
                <w:noProof/>
                <w:webHidden/>
              </w:rPr>
              <w:instrText xml:space="preserve"> PAGEREF _Toc219109710 \h </w:instrText>
            </w:r>
            <w:r>
              <w:rPr>
                <w:noProof/>
                <w:webHidden/>
              </w:rPr>
            </w:r>
            <w:r>
              <w:rPr>
                <w:noProof/>
                <w:webHidden/>
              </w:rPr>
              <w:fldChar w:fldCharType="separate"/>
            </w:r>
            <w:r>
              <w:rPr>
                <w:noProof/>
                <w:webHidden/>
              </w:rPr>
              <w:t>10</w:t>
            </w:r>
            <w:r>
              <w:rPr>
                <w:noProof/>
                <w:webHidden/>
              </w:rPr>
              <w:fldChar w:fldCharType="end"/>
            </w:r>
          </w:hyperlink>
        </w:p>
        <w:p w14:paraId="03836AA9" w14:textId="172546A8"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11" w:history="1">
            <w:r w:rsidRPr="008B1BB6">
              <w:rPr>
                <w:rStyle w:val="Hyperlink"/>
                <w:rFonts w:ascii="Arial Bold" w:hAnsi="Arial Bold" w:cs="Broadway"/>
                <w:b/>
                <w:caps/>
                <w:noProof/>
                <w:kern w:val="24"/>
              </w:rPr>
              <w:t>10</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_Toc219109711 \h </w:instrText>
            </w:r>
            <w:r>
              <w:rPr>
                <w:noProof/>
                <w:webHidden/>
              </w:rPr>
            </w:r>
            <w:r>
              <w:rPr>
                <w:noProof/>
                <w:webHidden/>
              </w:rPr>
              <w:fldChar w:fldCharType="separate"/>
            </w:r>
            <w:r>
              <w:rPr>
                <w:noProof/>
                <w:webHidden/>
              </w:rPr>
              <w:t>10</w:t>
            </w:r>
            <w:r>
              <w:rPr>
                <w:noProof/>
                <w:webHidden/>
              </w:rPr>
              <w:fldChar w:fldCharType="end"/>
            </w:r>
          </w:hyperlink>
        </w:p>
        <w:p w14:paraId="639F8F2A" w14:textId="060E351F" w:rsidR="00DA70E3" w:rsidRDefault="00DA70E3">
          <w:pPr>
            <w:pStyle w:val="TOC1"/>
            <w:rPr>
              <w:rFonts w:asciiTheme="minorHAnsi" w:eastAsiaTheme="minorEastAsia" w:hAnsiTheme="minorHAnsi" w:cstheme="minorBidi"/>
              <w:noProof/>
              <w:kern w:val="2"/>
              <w:szCs w:val="24"/>
              <w:lang w:eastAsia="en-GB"/>
              <w14:ligatures w14:val="standardContextual"/>
            </w:rPr>
          </w:pPr>
          <w:hyperlink w:anchor="_Toc219109712" w:history="1">
            <w:r w:rsidRPr="008B1BB6">
              <w:rPr>
                <w:rStyle w:val="Hyperlink"/>
                <w:rFonts w:ascii="Arial Bold" w:hAnsi="Arial Bold" w:cs="Broadway"/>
                <w:b/>
                <w:caps/>
                <w:noProof/>
                <w:kern w:val="24"/>
              </w:rPr>
              <w:t>11</w:t>
            </w:r>
            <w:r>
              <w:rPr>
                <w:rFonts w:asciiTheme="minorHAnsi" w:eastAsiaTheme="minorEastAsia" w:hAnsiTheme="minorHAnsi" w:cstheme="minorBidi"/>
                <w:noProof/>
                <w:kern w:val="2"/>
                <w:szCs w:val="24"/>
                <w:lang w:eastAsia="en-GB"/>
                <w14:ligatures w14:val="standardContextual"/>
              </w:rPr>
              <w:tab/>
            </w:r>
            <w:r w:rsidRPr="008B1BB6">
              <w:rPr>
                <w:rStyle w:val="Hyperlink"/>
                <w:rFonts w:cs="Arial"/>
                <w:b/>
                <w:bCs/>
                <w:noProof/>
              </w:rPr>
              <w:t>References</w:t>
            </w:r>
            <w:r>
              <w:rPr>
                <w:noProof/>
                <w:webHidden/>
              </w:rPr>
              <w:tab/>
            </w:r>
            <w:r>
              <w:rPr>
                <w:noProof/>
                <w:webHidden/>
              </w:rPr>
              <w:fldChar w:fldCharType="begin"/>
            </w:r>
            <w:r>
              <w:rPr>
                <w:noProof/>
                <w:webHidden/>
              </w:rPr>
              <w:instrText xml:space="preserve"> PAGEREF _Toc219109712 \h </w:instrText>
            </w:r>
            <w:r>
              <w:rPr>
                <w:noProof/>
                <w:webHidden/>
              </w:rPr>
            </w:r>
            <w:r>
              <w:rPr>
                <w:noProof/>
                <w:webHidden/>
              </w:rPr>
              <w:fldChar w:fldCharType="separate"/>
            </w:r>
            <w:r>
              <w:rPr>
                <w:noProof/>
                <w:webHidden/>
              </w:rPr>
              <w:t>10</w:t>
            </w:r>
            <w:r>
              <w:rPr>
                <w:noProof/>
                <w:webHidden/>
              </w:rPr>
              <w:fldChar w:fldCharType="end"/>
            </w:r>
          </w:hyperlink>
        </w:p>
        <w:p w14:paraId="77AC8F39" w14:textId="7B4419D1" w:rsidR="007B6836" w:rsidRDefault="007B6836">
          <w:r>
            <w:rPr>
              <w:b/>
              <w:bCs/>
              <w:noProof/>
            </w:rPr>
            <w:fldChar w:fldCharType="end"/>
          </w:r>
        </w:p>
      </w:sdtContent>
    </w:sdt>
    <w:p w14:paraId="1C1061D0" w14:textId="77777777" w:rsidR="007B6836" w:rsidRDefault="007B6836" w:rsidP="0040381C">
      <w:pPr>
        <w:rPr>
          <w:rStyle w:val="Hyperlink"/>
          <w:rFonts w:ascii="Arial Bold" w:hAnsi="Arial Bold"/>
          <w:b/>
          <w:noProof/>
        </w:rPr>
      </w:pPr>
    </w:p>
    <w:p w14:paraId="12E90099" w14:textId="77777777" w:rsidR="0059190F" w:rsidRDefault="0059190F" w:rsidP="0040381C">
      <w:pPr>
        <w:rPr>
          <w:rStyle w:val="Hyperlink"/>
          <w:rFonts w:ascii="Arial Bold" w:hAnsi="Arial Bold"/>
          <w:b/>
          <w:noProof/>
        </w:rPr>
      </w:pPr>
    </w:p>
    <w:p w14:paraId="0FC8BA89" w14:textId="77777777" w:rsidR="0059190F" w:rsidRDefault="0059190F" w:rsidP="0040381C">
      <w:pPr>
        <w:rPr>
          <w:rStyle w:val="Hyperlink"/>
          <w:rFonts w:ascii="Arial Bold" w:hAnsi="Arial Bold"/>
          <w:b/>
          <w:noProof/>
        </w:rPr>
      </w:pPr>
    </w:p>
    <w:p w14:paraId="22A8E227" w14:textId="77777777" w:rsidR="0059190F" w:rsidRDefault="0059190F" w:rsidP="0040381C">
      <w:pPr>
        <w:rPr>
          <w:rStyle w:val="Hyperlink"/>
          <w:rFonts w:ascii="Arial Bold" w:hAnsi="Arial Bold"/>
          <w:b/>
          <w:noProof/>
        </w:rPr>
      </w:pPr>
    </w:p>
    <w:p w14:paraId="47E4C94D" w14:textId="580C2A27" w:rsidR="003455B5" w:rsidRDefault="003455B5" w:rsidP="0040381C">
      <w:pPr>
        <w:rPr>
          <w:rStyle w:val="Hyperlink"/>
          <w:rFonts w:ascii="Arial Bold" w:hAnsi="Arial Bold"/>
          <w:b/>
          <w:noProof/>
        </w:rPr>
      </w:pPr>
    </w:p>
    <w:p w14:paraId="65B9ED69" w14:textId="6A71352F" w:rsidR="007B6836" w:rsidRDefault="007B6836" w:rsidP="0040381C">
      <w:pPr>
        <w:rPr>
          <w:rStyle w:val="Hyperlink"/>
          <w:rFonts w:ascii="Arial Bold" w:hAnsi="Arial Bold"/>
          <w:b/>
          <w:noProof/>
        </w:rPr>
      </w:pPr>
    </w:p>
    <w:p w14:paraId="73036F81" w14:textId="77777777" w:rsidR="00B067E2" w:rsidRDefault="00B067E2">
      <w:pPr>
        <w:rPr>
          <w:rFonts w:ascii="Arial Bold" w:hAnsi="Arial Bold"/>
          <w:b/>
          <w:sz w:val="28"/>
        </w:rPr>
      </w:pPr>
      <w:bookmarkStart w:id="1" w:name="_Toc528242078"/>
      <w:r>
        <w:rPr>
          <w:rFonts w:ascii="Arial Bold" w:hAnsi="Arial Bold"/>
          <w:b/>
          <w:sz w:val="28"/>
        </w:rPr>
        <w:br w:type="page"/>
      </w:r>
    </w:p>
    <w:p w14:paraId="450120ED" w14:textId="0D904714" w:rsidR="00907DCF" w:rsidRPr="00907DCF" w:rsidRDefault="00640176" w:rsidP="00907DCF">
      <w:pPr>
        <w:numPr>
          <w:ilvl w:val="0"/>
          <w:numId w:val="2"/>
        </w:numPr>
        <w:tabs>
          <w:tab w:val="clear" w:pos="1162"/>
          <w:tab w:val="left" w:pos="709"/>
        </w:tabs>
        <w:spacing w:before="360" w:after="240"/>
        <w:outlineLvl w:val="0"/>
        <w:rPr>
          <w:rFonts w:ascii="Arial Bold" w:hAnsi="Arial Bold"/>
          <w:b/>
          <w:sz w:val="28"/>
        </w:rPr>
      </w:pPr>
      <w:bookmarkStart w:id="2" w:name="_Toc219109702"/>
      <w:r w:rsidRPr="00640176">
        <w:rPr>
          <w:rFonts w:ascii="Arial Bold" w:hAnsi="Arial Bold"/>
          <w:b/>
          <w:sz w:val="28"/>
        </w:rPr>
        <w:t>Statement of Aims and Objectives</w:t>
      </w:r>
      <w:bookmarkEnd w:id="1"/>
      <w:bookmarkEnd w:id="2"/>
    </w:p>
    <w:p w14:paraId="053798EF" w14:textId="1BDF732D" w:rsidR="00196CD1" w:rsidRPr="00196CD1" w:rsidRDefault="00907DCF" w:rsidP="00907DCF">
      <w:pPr>
        <w:spacing w:after="240"/>
        <w:ind w:left="709" w:hanging="709"/>
        <w:rPr>
          <w:rFonts w:cs="Arial"/>
        </w:rPr>
      </w:pPr>
      <w:bookmarkStart w:id="3" w:name="_Toc517087500"/>
      <w:bookmarkStart w:id="4" w:name="_Toc517104361"/>
      <w:r>
        <w:rPr>
          <w:rFonts w:cs="Arial"/>
        </w:rPr>
        <w:t xml:space="preserve">1.1 </w:t>
      </w:r>
      <w:r>
        <w:rPr>
          <w:rFonts w:cs="Arial"/>
        </w:rPr>
        <w:tab/>
      </w:r>
      <w:r w:rsidR="001E2230" w:rsidRPr="001E2230">
        <w:rPr>
          <w:rFonts w:cs="Arial"/>
        </w:rPr>
        <w:t xml:space="preserve">The objective of the </w:t>
      </w:r>
      <w:r w:rsidR="00A718D8">
        <w:rPr>
          <w:rFonts w:cs="Arial"/>
        </w:rPr>
        <w:t xml:space="preserve">Working at Height </w:t>
      </w:r>
      <w:r w:rsidR="001E2230" w:rsidRPr="001E2230">
        <w:rPr>
          <w:rFonts w:cs="Arial"/>
        </w:rPr>
        <w:t xml:space="preserve">Regulations </w:t>
      </w:r>
      <w:r w:rsidR="00A718D8">
        <w:rPr>
          <w:rFonts w:cs="Arial"/>
        </w:rPr>
        <w:t>2005</w:t>
      </w:r>
      <w:r w:rsidR="001E2230" w:rsidRPr="001E2230">
        <w:rPr>
          <w:rFonts w:cs="Arial"/>
        </w:rPr>
        <w:t xml:space="preserve"> is to reduce risks to health and safety </w:t>
      </w:r>
      <w:r w:rsidR="00A718D8">
        <w:rPr>
          <w:rFonts w:cs="Arial"/>
        </w:rPr>
        <w:t xml:space="preserve">whilst </w:t>
      </w:r>
      <w:r w:rsidR="001E2230" w:rsidRPr="001E2230">
        <w:rPr>
          <w:rFonts w:cs="Arial"/>
        </w:rPr>
        <w:t>work</w:t>
      </w:r>
      <w:r w:rsidR="00A718D8">
        <w:rPr>
          <w:rFonts w:cs="Arial"/>
        </w:rPr>
        <w:t xml:space="preserve">ing in any place from which, if no action </w:t>
      </w:r>
      <w:r w:rsidR="00F7054C">
        <w:rPr>
          <w:rFonts w:cs="Arial"/>
        </w:rPr>
        <w:t>were</w:t>
      </w:r>
      <w:r w:rsidR="00A718D8">
        <w:rPr>
          <w:rFonts w:cs="Arial"/>
        </w:rPr>
        <w:t xml:space="preserve"> taken, a person could fall a distance, liable to cause personal injury. This could, </w:t>
      </w:r>
      <w:r w:rsidR="001F5BF6">
        <w:rPr>
          <w:rFonts w:cs="Arial"/>
        </w:rPr>
        <w:t>therefore,</w:t>
      </w:r>
      <w:r w:rsidR="00A718D8">
        <w:rPr>
          <w:rFonts w:cs="Arial"/>
        </w:rPr>
        <w:t xml:space="preserve"> include any work carried out above or below ground or floor level. </w:t>
      </w:r>
    </w:p>
    <w:bookmarkEnd w:id="3"/>
    <w:bookmarkEnd w:id="4"/>
    <w:p w14:paraId="05560E8A" w14:textId="38483409" w:rsidR="00A77110" w:rsidRDefault="00907DCF" w:rsidP="0040681C">
      <w:pPr>
        <w:pStyle w:val="ListParagraph"/>
        <w:numPr>
          <w:ilvl w:val="1"/>
          <w:numId w:val="11"/>
        </w:numPr>
        <w:tabs>
          <w:tab w:val="left" w:pos="709"/>
        </w:tabs>
        <w:spacing w:after="240"/>
        <w:ind w:left="709" w:hanging="709"/>
        <w:jc w:val="both"/>
      </w:pPr>
      <w:r>
        <w:t xml:space="preserve"> </w:t>
      </w:r>
      <w:r w:rsidR="001E2230" w:rsidRPr="00907DCF">
        <w:t xml:space="preserve">South East Coast Ambulance Service NHS Foundation Trust (the Trust) is committed to the health and safety to </w:t>
      </w:r>
      <w:r w:rsidR="00532CF9" w:rsidRPr="00907DCF">
        <w:t>employees</w:t>
      </w:r>
      <w:r w:rsidR="00F36D95" w:rsidRPr="00907DCF">
        <w:t xml:space="preserve">, </w:t>
      </w:r>
      <w:r w:rsidR="001E2230" w:rsidRPr="00907DCF">
        <w:t xml:space="preserve">service users, visitors and others. The purpose of this policy is to ensure that </w:t>
      </w:r>
      <w:r w:rsidR="00A718D8" w:rsidRPr="00907DCF">
        <w:t>the Trust takes all reasonably practicable measures to ensure that its workplaces and areas under their control at the material time are safe and without unnecessary risks from working at height to all persons needing to access them</w:t>
      </w:r>
      <w:r w:rsidR="00A77110" w:rsidRPr="00907DCF">
        <w:t xml:space="preserve"> by:     </w:t>
      </w:r>
    </w:p>
    <w:p w14:paraId="29EE5BE5" w14:textId="77777777" w:rsidR="00907DCF" w:rsidRPr="00907DCF" w:rsidRDefault="00907DCF" w:rsidP="00907DCF">
      <w:pPr>
        <w:pStyle w:val="ListParagraph"/>
        <w:spacing w:after="240"/>
        <w:ind w:left="360"/>
        <w:jc w:val="both"/>
      </w:pPr>
    </w:p>
    <w:p w14:paraId="7439211F" w14:textId="4839F728" w:rsidR="00A77110" w:rsidRDefault="00A77110" w:rsidP="0040681C">
      <w:pPr>
        <w:pStyle w:val="ListParagraph"/>
        <w:numPr>
          <w:ilvl w:val="0"/>
          <w:numId w:val="8"/>
        </w:numPr>
        <w:spacing w:after="240"/>
        <w:jc w:val="both"/>
      </w:pPr>
      <w:r w:rsidRPr="009F1D7C">
        <w:t xml:space="preserve">Ensuring all potential working at height hazards are </w:t>
      </w:r>
      <w:r w:rsidR="001F5BF6" w:rsidRPr="009F1D7C">
        <w:t>identified.</w:t>
      </w:r>
    </w:p>
    <w:p w14:paraId="104CCF0E" w14:textId="77777777" w:rsidR="009F1D7C" w:rsidRPr="009F1D7C" w:rsidRDefault="009F1D7C" w:rsidP="009F1D7C">
      <w:pPr>
        <w:pStyle w:val="ListParagraph"/>
        <w:spacing w:after="240"/>
        <w:ind w:left="1882"/>
        <w:jc w:val="both"/>
      </w:pPr>
    </w:p>
    <w:p w14:paraId="12315CE7" w14:textId="0BE06389" w:rsidR="009F1D7C" w:rsidRDefault="00A77110" w:rsidP="0040681C">
      <w:pPr>
        <w:pStyle w:val="ListParagraph"/>
        <w:numPr>
          <w:ilvl w:val="0"/>
          <w:numId w:val="8"/>
        </w:numPr>
        <w:spacing w:after="240"/>
        <w:jc w:val="both"/>
      </w:pPr>
      <w:r w:rsidRPr="009F1D7C">
        <w:t xml:space="preserve">Any risk to safety is adequately controlled, and reduced to the lowest reasonably practicable </w:t>
      </w:r>
      <w:r w:rsidR="009F1D7C" w:rsidRPr="009F1D7C">
        <w:t>level; and</w:t>
      </w:r>
    </w:p>
    <w:p w14:paraId="6DAFF405" w14:textId="77777777" w:rsidR="009F1D7C" w:rsidRPr="009F1D7C" w:rsidRDefault="009F1D7C" w:rsidP="009F1D7C">
      <w:pPr>
        <w:pStyle w:val="ListParagraph"/>
        <w:spacing w:after="240"/>
        <w:ind w:left="1882"/>
        <w:jc w:val="both"/>
      </w:pPr>
    </w:p>
    <w:p w14:paraId="482D2573" w14:textId="127882A6" w:rsidR="003A06A5" w:rsidRDefault="009F1D7C" w:rsidP="0040681C">
      <w:pPr>
        <w:pStyle w:val="ListParagraph"/>
        <w:numPr>
          <w:ilvl w:val="0"/>
          <w:numId w:val="8"/>
        </w:numPr>
        <w:spacing w:after="240"/>
        <w:jc w:val="both"/>
      </w:pPr>
      <w:r w:rsidRPr="009F1D7C">
        <w:t>Where necessary, appropriate risk assessments</w:t>
      </w:r>
      <w:r w:rsidR="00A77110" w:rsidRPr="009F1D7C">
        <w:t xml:space="preserve"> </w:t>
      </w:r>
      <w:r w:rsidRPr="009F1D7C">
        <w:t xml:space="preserve">and method of reducing risk are in </w:t>
      </w:r>
      <w:r w:rsidR="001F5BF6" w:rsidRPr="009F1D7C">
        <w:t>place.</w:t>
      </w:r>
    </w:p>
    <w:p w14:paraId="0FAE2529" w14:textId="77777777" w:rsidR="003A06A5" w:rsidRPr="009F1D7C" w:rsidRDefault="003A06A5" w:rsidP="003A06A5">
      <w:pPr>
        <w:pStyle w:val="ListParagraph"/>
        <w:spacing w:after="240"/>
        <w:ind w:left="1882"/>
        <w:jc w:val="both"/>
      </w:pPr>
    </w:p>
    <w:p w14:paraId="236703FB" w14:textId="79E062E3" w:rsidR="001C2B90" w:rsidRDefault="001C2B90" w:rsidP="0040681C">
      <w:pPr>
        <w:pStyle w:val="ListParagraph"/>
        <w:numPr>
          <w:ilvl w:val="1"/>
          <w:numId w:val="11"/>
        </w:numPr>
        <w:spacing w:after="240"/>
        <w:jc w:val="both"/>
      </w:pPr>
      <w:bookmarkStart w:id="5" w:name="_Toc517087503"/>
      <w:bookmarkStart w:id="6" w:name="_Toc517104364"/>
      <w:r>
        <w:t xml:space="preserve">     </w:t>
      </w:r>
      <w:r w:rsidR="008D35F0" w:rsidRPr="003A06A5">
        <w:t xml:space="preserve">This policy is applicable </w:t>
      </w:r>
      <w:bookmarkEnd w:id="5"/>
      <w:bookmarkEnd w:id="6"/>
      <w:r w:rsidR="0045219B" w:rsidRPr="003A06A5">
        <w:t xml:space="preserve">to all </w:t>
      </w:r>
      <w:r w:rsidR="00532CF9" w:rsidRPr="003A06A5">
        <w:t>employees</w:t>
      </w:r>
      <w:r w:rsidR="00F36D95" w:rsidRPr="003A06A5">
        <w:t xml:space="preserve"> of the Trust, volunteers </w:t>
      </w:r>
      <w:r w:rsidR="00491F79" w:rsidRPr="003A06A5">
        <w:t>and others</w:t>
      </w:r>
      <w:r w:rsidR="0045219B" w:rsidRPr="003A06A5">
        <w:t xml:space="preserve"> in </w:t>
      </w:r>
    </w:p>
    <w:p w14:paraId="5581F7A2" w14:textId="303E8651" w:rsidR="001C2B90" w:rsidRDefault="001C2B90" w:rsidP="001C2B90">
      <w:pPr>
        <w:pStyle w:val="ListParagraph"/>
        <w:spacing w:after="240"/>
        <w:ind w:left="360"/>
        <w:jc w:val="both"/>
      </w:pPr>
      <w:r>
        <w:t xml:space="preserve">     </w:t>
      </w:r>
      <w:r w:rsidR="0045219B" w:rsidRPr="003A06A5">
        <w:t xml:space="preserve">the Trust who </w:t>
      </w:r>
      <w:r w:rsidR="00A77110" w:rsidRPr="003A06A5">
        <w:t>are required to work at height,</w:t>
      </w:r>
      <w:r w:rsidR="0045219B" w:rsidRPr="003A06A5">
        <w:t xml:space="preserve"> irrespective of whether premises </w:t>
      </w:r>
      <w:r>
        <w:t xml:space="preserve"> </w:t>
      </w:r>
    </w:p>
    <w:p w14:paraId="28BB9C0D" w14:textId="77777777" w:rsidR="00453E21" w:rsidRDefault="001C2B90" w:rsidP="001C2B90">
      <w:pPr>
        <w:pStyle w:val="ListParagraph"/>
        <w:spacing w:after="240"/>
        <w:ind w:left="360"/>
        <w:jc w:val="both"/>
      </w:pPr>
      <w:r>
        <w:t xml:space="preserve">     </w:t>
      </w:r>
      <w:r w:rsidR="0045219B" w:rsidRPr="003A06A5">
        <w:t>are managed, owned or leased by the Trust or owned by third parties</w:t>
      </w:r>
      <w:r w:rsidR="00FE2784" w:rsidRPr="003A06A5">
        <w:t>.</w:t>
      </w:r>
    </w:p>
    <w:p w14:paraId="035B048C" w14:textId="77777777" w:rsidR="00453E21" w:rsidRDefault="00453E21" w:rsidP="001C2B90">
      <w:pPr>
        <w:pStyle w:val="ListParagraph"/>
        <w:spacing w:after="240"/>
        <w:ind w:left="360"/>
        <w:jc w:val="both"/>
      </w:pPr>
      <w:r>
        <w:t xml:space="preserve">    </w:t>
      </w:r>
      <w:r w:rsidR="00FE2784" w:rsidRPr="00FE2784">
        <w:t xml:space="preserve"> </w:t>
      </w:r>
      <w:r w:rsidR="00D47335">
        <w:t xml:space="preserve">HART Teams within the trust have a specific set of Standard Operating </w:t>
      </w:r>
      <w:r>
        <w:t xml:space="preserve"> </w:t>
      </w:r>
    </w:p>
    <w:p w14:paraId="694129FE" w14:textId="77777777" w:rsidR="00453E21" w:rsidRDefault="00453E21" w:rsidP="001C2B90">
      <w:pPr>
        <w:pStyle w:val="ListParagraph"/>
        <w:spacing w:after="240"/>
        <w:ind w:left="360"/>
        <w:jc w:val="both"/>
      </w:pPr>
      <w:r>
        <w:t xml:space="preserve">     </w:t>
      </w:r>
      <w:r w:rsidR="00D47335">
        <w:t>Procedures</w:t>
      </w:r>
      <w:r w:rsidR="007E4B8A">
        <w:t>/Safe Systems of work which qualifies them to work at height</w:t>
      </w:r>
      <w:r>
        <w:t xml:space="preserve"> or in </w:t>
      </w:r>
    </w:p>
    <w:p w14:paraId="7BA73CC4" w14:textId="6A287C78" w:rsidR="00FE2784" w:rsidRDefault="00453E21" w:rsidP="001C2B90">
      <w:pPr>
        <w:pStyle w:val="ListParagraph"/>
        <w:spacing w:after="240"/>
        <w:ind w:left="360"/>
        <w:jc w:val="both"/>
      </w:pPr>
      <w:r>
        <w:t xml:space="preserve">     confined spaces.</w:t>
      </w:r>
    </w:p>
    <w:p w14:paraId="0CF487F6" w14:textId="7B40E97C" w:rsidR="006F40A1" w:rsidRDefault="006F40A1" w:rsidP="006F40A1">
      <w:r>
        <w:t xml:space="preserve">1.4     </w:t>
      </w:r>
      <w:r w:rsidR="004B55F6">
        <w:t>The aims</w:t>
      </w:r>
      <w:r w:rsidRPr="005724BC">
        <w:t xml:space="preserve"> and objectives of this policy are to protect </w:t>
      </w:r>
      <w:r>
        <w:t>s</w:t>
      </w:r>
      <w:r w:rsidRPr="005724BC">
        <w:t xml:space="preserve">taff, </w:t>
      </w:r>
      <w:r w:rsidR="00F7054C" w:rsidRPr="005724BC">
        <w:t>as far as</w:t>
      </w:r>
      <w:r w:rsidRPr="005724BC">
        <w:t xml:space="preserve"> is </w:t>
      </w:r>
    </w:p>
    <w:p w14:paraId="403B0FCD" w14:textId="0816646B" w:rsidR="006F40A1" w:rsidRDefault="006F40A1" w:rsidP="00D94B94">
      <w:pPr>
        <w:ind w:left="660"/>
      </w:pPr>
      <w:r w:rsidRPr="005724BC">
        <w:t xml:space="preserve">reasonably practicable, </w:t>
      </w:r>
      <w:r>
        <w:t>f</w:t>
      </w:r>
      <w:r w:rsidRPr="005724BC">
        <w:t>rom the risk of</w:t>
      </w:r>
      <w:r>
        <w:t xml:space="preserve"> injury from</w:t>
      </w:r>
      <w:r w:rsidRPr="005724BC">
        <w:t xml:space="preserve"> </w:t>
      </w:r>
      <w:r w:rsidR="00D94B94">
        <w:t>working at height</w:t>
      </w:r>
      <w:r w:rsidR="00F7054C" w:rsidRPr="005724BC">
        <w:t>.</w:t>
      </w:r>
      <w:r w:rsidR="00F7054C">
        <w:t xml:space="preserve"> </w:t>
      </w:r>
      <w:r w:rsidR="00DA70E3">
        <w:t>This</w:t>
      </w:r>
      <w:r>
        <w:t xml:space="preserve"> policy aims to:</w:t>
      </w:r>
    </w:p>
    <w:p w14:paraId="34DA022A" w14:textId="77777777" w:rsidR="006F40A1" w:rsidRDefault="006F40A1" w:rsidP="006F40A1"/>
    <w:p w14:paraId="2A91E52B" w14:textId="2E675DE6" w:rsidR="006F40A1" w:rsidRDefault="006F40A1" w:rsidP="0040681C">
      <w:pPr>
        <w:pStyle w:val="ListParagraph"/>
        <w:numPr>
          <w:ilvl w:val="0"/>
          <w:numId w:val="15"/>
        </w:numPr>
      </w:pPr>
      <w:r>
        <w:t xml:space="preserve">Ensure that </w:t>
      </w:r>
      <w:r w:rsidRPr="005724BC">
        <w:t>tasks with a significant degree of risk</w:t>
      </w:r>
      <w:r>
        <w:t xml:space="preserve">, are assessed by competent </w:t>
      </w:r>
      <w:r w:rsidRPr="005724BC">
        <w:t>person</w:t>
      </w:r>
      <w:r>
        <w:t xml:space="preserve">s, </w:t>
      </w:r>
      <w:r w:rsidRPr="005724BC">
        <w:t xml:space="preserve">and </w:t>
      </w:r>
      <w:r>
        <w:t>safe systems</w:t>
      </w:r>
      <w:r w:rsidRPr="005724BC">
        <w:t xml:space="preserve"> of work </w:t>
      </w:r>
      <w:r>
        <w:t xml:space="preserve">are </w:t>
      </w:r>
      <w:r w:rsidRPr="005724BC">
        <w:t xml:space="preserve">in place to reduce the risks to staff, patients and others, </w:t>
      </w:r>
      <w:r w:rsidR="00F7054C" w:rsidRPr="005724BC">
        <w:t>as far as</w:t>
      </w:r>
      <w:r w:rsidRPr="005724BC">
        <w:t xml:space="preserve"> is reasona</w:t>
      </w:r>
      <w:r>
        <w:t>bly practicable.</w:t>
      </w:r>
    </w:p>
    <w:p w14:paraId="3A116947" w14:textId="77777777" w:rsidR="006F40A1" w:rsidRDefault="006F40A1" w:rsidP="006F40A1">
      <w:pPr>
        <w:pStyle w:val="ListParagraph"/>
      </w:pPr>
    </w:p>
    <w:p w14:paraId="4900ADA5" w14:textId="3D982B6D" w:rsidR="006F40A1" w:rsidRDefault="006F40A1" w:rsidP="0040681C">
      <w:pPr>
        <w:pStyle w:val="ListParagraph"/>
        <w:numPr>
          <w:ilvl w:val="0"/>
          <w:numId w:val="15"/>
        </w:numPr>
      </w:pPr>
      <w:r>
        <w:t xml:space="preserve">Ensure that suitable and sufficient information and training is given to staff to ensure they understand their legal </w:t>
      </w:r>
      <w:r w:rsidR="00317316">
        <w:t>duties and</w:t>
      </w:r>
      <w:r>
        <w:t xml:space="preserve"> are competent to </w:t>
      </w:r>
      <w:r w:rsidRPr="005724BC">
        <w:t xml:space="preserve">apply the principles of </w:t>
      </w:r>
      <w:r w:rsidR="00D94B94">
        <w:t>working at height when doing so</w:t>
      </w:r>
      <w:r w:rsidR="00F7054C">
        <w:t xml:space="preserve">. </w:t>
      </w:r>
    </w:p>
    <w:p w14:paraId="3A127F83" w14:textId="77777777" w:rsidR="006F40A1" w:rsidRDefault="006F40A1" w:rsidP="006F40A1">
      <w:pPr>
        <w:pStyle w:val="ListParagraph"/>
      </w:pPr>
    </w:p>
    <w:p w14:paraId="72B2A5FE" w14:textId="580E812F" w:rsidR="006F40A1" w:rsidRDefault="006F40A1" w:rsidP="0040681C">
      <w:pPr>
        <w:pStyle w:val="ListParagraph"/>
        <w:numPr>
          <w:ilvl w:val="0"/>
          <w:numId w:val="15"/>
        </w:numPr>
      </w:pPr>
      <w:r>
        <w:t xml:space="preserve">Ensure that appropriate training is provided for staff joining the Trust and throughout their employment via for example e-learning modules, and through annual key skills training and on the introduction of any new equipment or following significant </w:t>
      </w:r>
      <w:r w:rsidR="000B7B79">
        <w:t>incidents.</w:t>
      </w:r>
    </w:p>
    <w:p w14:paraId="4A970692" w14:textId="77777777" w:rsidR="006F40A1" w:rsidRDefault="006F40A1" w:rsidP="006F40A1">
      <w:pPr>
        <w:pStyle w:val="ListParagraph"/>
      </w:pPr>
    </w:p>
    <w:p w14:paraId="1EE3EE46" w14:textId="51E42E16" w:rsidR="006F40A1" w:rsidRPr="00290608" w:rsidRDefault="006F40A1" w:rsidP="0040681C">
      <w:pPr>
        <w:pStyle w:val="ListParagraph"/>
        <w:numPr>
          <w:ilvl w:val="0"/>
          <w:numId w:val="15"/>
        </w:numPr>
      </w:pPr>
      <w:r>
        <w:t>E</w:t>
      </w:r>
      <w:r w:rsidRPr="005724BC">
        <w:t xml:space="preserve">ncourage full </w:t>
      </w:r>
      <w:r>
        <w:t xml:space="preserve">accurate </w:t>
      </w:r>
      <w:r w:rsidRPr="005724BC">
        <w:t>reporting and recording of all accidents, incidents, near misses and ill-he</w:t>
      </w:r>
      <w:r>
        <w:t xml:space="preserve">alth related to </w:t>
      </w:r>
      <w:r w:rsidR="00D94B94">
        <w:t>working at height</w:t>
      </w:r>
      <w:r>
        <w:t>, and taking action to reduce the risk of recurrence, giving feedback to staff.</w:t>
      </w:r>
    </w:p>
    <w:p w14:paraId="744A847A" w14:textId="77777777" w:rsidR="00C403A0" w:rsidRPr="00640176" w:rsidRDefault="00C403A0" w:rsidP="00084DE1">
      <w:pPr>
        <w:numPr>
          <w:ilvl w:val="0"/>
          <w:numId w:val="2"/>
        </w:numPr>
        <w:tabs>
          <w:tab w:val="clear" w:pos="1162"/>
        </w:tabs>
        <w:spacing w:before="360" w:after="240"/>
        <w:ind w:left="709" w:hanging="709"/>
        <w:outlineLvl w:val="0"/>
        <w:rPr>
          <w:rFonts w:cs="Arial"/>
          <w:b/>
          <w:bCs/>
          <w:sz w:val="28"/>
          <w:szCs w:val="28"/>
        </w:rPr>
      </w:pPr>
      <w:bookmarkStart w:id="7" w:name="_Toc528242079"/>
      <w:bookmarkStart w:id="8" w:name="_Toc219109703"/>
      <w:r w:rsidRPr="00640176">
        <w:rPr>
          <w:rFonts w:cs="Arial"/>
          <w:b/>
          <w:bCs/>
          <w:sz w:val="28"/>
          <w:szCs w:val="28"/>
        </w:rPr>
        <w:t>Principles</w:t>
      </w:r>
      <w:bookmarkEnd w:id="7"/>
      <w:bookmarkEnd w:id="8"/>
    </w:p>
    <w:p w14:paraId="591EB5CC" w14:textId="29004DA3" w:rsidR="00E313F3" w:rsidRPr="00D94B94" w:rsidRDefault="00D94B94" w:rsidP="0084377F">
      <w:pPr>
        <w:spacing w:after="240"/>
        <w:ind w:left="709" w:hanging="709"/>
        <w:jc w:val="both"/>
      </w:pPr>
      <w:r>
        <w:t xml:space="preserve">2.1     </w:t>
      </w:r>
      <w:r w:rsidR="00A77110" w:rsidRPr="00D94B94">
        <w:t xml:space="preserve">The Health and safety Executive considers this to be a priority issue, as falls </w:t>
      </w:r>
      <w:r w:rsidR="0084377F">
        <w:t xml:space="preserve">                               </w:t>
      </w:r>
      <w:r>
        <w:t xml:space="preserve">                            </w:t>
      </w:r>
      <w:r w:rsidR="00A77110" w:rsidRPr="00D94B94">
        <w:t>from height are the main cause of fatal accidents at work, and the second biggest cause of major injuries.</w:t>
      </w:r>
    </w:p>
    <w:p w14:paraId="15120C2C" w14:textId="77777777" w:rsidR="0084377F" w:rsidRDefault="0084377F" w:rsidP="0040681C">
      <w:pPr>
        <w:pStyle w:val="ListParagraph"/>
        <w:numPr>
          <w:ilvl w:val="1"/>
          <w:numId w:val="12"/>
        </w:numPr>
        <w:spacing w:after="240"/>
        <w:jc w:val="both"/>
      </w:pPr>
      <w:r>
        <w:t xml:space="preserve">     </w:t>
      </w:r>
      <w:r w:rsidR="009D2D8B" w:rsidRPr="0084377F">
        <w:t xml:space="preserve">The schedules of the Working at Heights Regulations 2005 cover the </w:t>
      </w:r>
    </w:p>
    <w:p w14:paraId="68FB3ED1" w14:textId="31118ECF" w:rsidR="00682700" w:rsidRPr="0084377F" w:rsidRDefault="0084377F" w:rsidP="0084377F">
      <w:pPr>
        <w:pStyle w:val="ListParagraph"/>
        <w:spacing w:after="240"/>
        <w:ind w:left="360"/>
        <w:jc w:val="both"/>
      </w:pPr>
      <w:r>
        <w:t xml:space="preserve">     </w:t>
      </w:r>
      <w:r w:rsidR="009D2D8B" w:rsidRPr="0084377F">
        <w:t>following:</w:t>
      </w:r>
    </w:p>
    <w:p w14:paraId="75E5ECF0" w14:textId="6EF79FD4" w:rsidR="009D2D8B" w:rsidRPr="009D2D8B" w:rsidRDefault="009D2D8B" w:rsidP="0040681C">
      <w:pPr>
        <w:pStyle w:val="ListParagraph"/>
        <w:numPr>
          <w:ilvl w:val="0"/>
          <w:numId w:val="9"/>
        </w:numPr>
        <w:spacing w:after="240"/>
      </w:pPr>
      <w:r w:rsidRPr="009D2D8B">
        <w:t xml:space="preserve">Existing places of work and means of access for working at </w:t>
      </w:r>
      <w:r w:rsidR="000B7B79" w:rsidRPr="009D2D8B">
        <w:t>height.</w:t>
      </w:r>
    </w:p>
    <w:p w14:paraId="2368F3D4" w14:textId="36E8FEA3" w:rsidR="009D2D8B" w:rsidRPr="009D2D8B" w:rsidRDefault="009D2D8B" w:rsidP="0040681C">
      <w:pPr>
        <w:pStyle w:val="ListParagraph"/>
        <w:numPr>
          <w:ilvl w:val="0"/>
          <w:numId w:val="9"/>
        </w:numPr>
        <w:spacing w:after="240"/>
      </w:pPr>
      <w:r w:rsidRPr="009D2D8B">
        <w:t>Collective fall prevention (</w:t>
      </w:r>
      <w:r w:rsidR="000B7B79" w:rsidRPr="009D2D8B">
        <w:t>e.g.,</w:t>
      </w:r>
      <w:r w:rsidRPr="009D2D8B">
        <w:t xml:space="preserve"> guard rails, toe boards, barriers etc)</w:t>
      </w:r>
    </w:p>
    <w:p w14:paraId="29853E63" w14:textId="0AB4510D" w:rsidR="009D2D8B" w:rsidRPr="009D2D8B" w:rsidRDefault="009D2D8B" w:rsidP="0040681C">
      <w:pPr>
        <w:pStyle w:val="ListParagraph"/>
        <w:numPr>
          <w:ilvl w:val="0"/>
          <w:numId w:val="9"/>
        </w:numPr>
        <w:spacing w:after="240"/>
      </w:pPr>
      <w:r w:rsidRPr="009D2D8B">
        <w:t>Working platforms</w:t>
      </w:r>
    </w:p>
    <w:p w14:paraId="1D4A8A3E" w14:textId="77777777" w:rsidR="009D2D8B" w:rsidRPr="009D2D8B" w:rsidRDefault="009D2D8B" w:rsidP="0040681C">
      <w:pPr>
        <w:pStyle w:val="ListParagraph"/>
        <w:numPr>
          <w:ilvl w:val="0"/>
          <w:numId w:val="9"/>
        </w:numPr>
        <w:spacing w:after="240"/>
      </w:pPr>
      <w:r w:rsidRPr="009D2D8B">
        <w:t>Safeguards for arresting falls</w:t>
      </w:r>
    </w:p>
    <w:p w14:paraId="5A2F6A76" w14:textId="0BED4384" w:rsidR="009D2D8B" w:rsidRPr="009D2D8B" w:rsidRDefault="009D2D8B" w:rsidP="0040681C">
      <w:pPr>
        <w:pStyle w:val="ListParagraph"/>
        <w:numPr>
          <w:ilvl w:val="0"/>
          <w:numId w:val="9"/>
        </w:numPr>
        <w:spacing w:after="240"/>
      </w:pPr>
      <w:r w:rsidRPr="009D2D8B">
        <w:t>Personal fall protection systems (</w:t>
      </w:r>
      <w:r w:rsidR="000B7B79" w:rsidRPr="009D2D8B">
        <w:t>e.g.,</w:t>
      </w:r>
      <w:r w:rsidRPr="009D2D8B">
        <w:t xml:space="preserve"> work restraints, work positioning, fall arrest and rope access)</w:t>
      </w:r>
    </w:p>
    <w:p w14:paraId="39DD39B2" w14:textId="77777777" w:rsidR="009D2D8B" w:rsidRPr="009D2D8B" w:rsidRDefault="009D2D8B" w:rsidP="005043FC">
      <w:pPr>
        <w:pStyle w:val="ListParagraph"/>
        <w:numPr>
          <w:ilvl w:val="0"/>
          <w:numId w:val="9"/>
        </w:numPr>
        <w:spacing w:after="240"/>
      </w:pPr>
      <w:r w:rsidRPr="009D2D8B">
        <w:t>Ladders and step ladders</w:t>
      </w:r>
    </w:p>
    <w:p w14:paraId="1EF5B7BC" w14:textId="59C4A546" w:rsidR="009D2D8B" w:rsidRPr="009D2D8B" w:rsidRDefault="009D2D8B" w:rsidP="0040681C">
      <w:pPr>
        <w:pStyle w:val="ListParagraph"/>
        <w:numPr>
          <w:ilvl w:val="0"/>
          <w:numId w:val="9"/>
        </w:numPr>
        <w:spacing w:after="240"/>
      </w:pPr>
      <w:r w:rsidRPr="009D2D8B">
        <w:t>Inspection reports (for working platforms in construction)</w:t>
      </w:r>
    </w:p>
    <w:p w14:paraId="1F6A879C" w14:textId="0989CC6B" w:rsidR="009D2D8B" w:rsidRDefault="009D2D8B" w:rsidP="0040681C">
      <w:pPr>
        <w:pStyle w:val="ListParagraph"/>
        <w:numPr>
          <w:ilvl w:val="0"/>
          <w:numId w:val="9"/>
        </w:numPr>
        <w:spacing w:after="240"/>
      </w:pPr>
      <w:r w:rsidRPr="009D2D8B">
        <w:t xml:space="preserve">Revocation  </w:t>
      </w:r>
    </w:p>
    <w:p w14:paraId="1709E21D" w14:textId="77777777" w:rsidR="00FB290D" w:rsidRPr="009B5246" w:rsidRDefault="00FB290D" w:rsidP="00FB290D">
      <w:pPr>
        <w:pStyle w:val="ListParagraph"/>
        <w:spacing w:after="240"/>
        <w:ind w:left="1882"/>
      </w:pPr>
    </w:p>
    <w:p w14:paraId="614F733E" w14:textId="77777777" w:rsidR="00FB290D" w:rsidRDefault="0084377F" w:rsidP="0040681C">
      <w:pPr>
        <w:pStyle w:val="ListParagraph"/>
        <w:numPr>
          <w:ilvl w:val="1"/>
          <w:numId w:val="12"/>
        </w:numPr>
        <w:spacing w:after="240"/>
        <w:jc w:val="both"/>
      </w:pPr>
      <w:r>
        <w:t xml:space="preserve">    </w:t>
      </w:r>
      <w:r w:rsidR="00FB290D">
        <w:t xml:space="preserve"> </w:t>
      </w:r>
      <w:r w:rsidR="00E313F3" w:rsidRPr="0084377F">
        <w:t xml:space="preserve">This policy aim is to ensure that that the </w:t>
      </w:r>
      <w:r w:rsidR="000E7D16" w:rsidRPr="0084377F">
        <w:t>Trust operates</w:t>
      </w:r>
      <w:r w:rsidR="00E313F3" w:rsidRPr="0084377F">
        <w:t xml:space="preserve"> within </w:t>
      </w:r>
      <w:r w:rsidR="00084DE1" w:rsidRPr="0084377F">
        <w:t>The Working at</w:t>
      </w:r>
    </w:p>
    <w:p w14:paraId="7B7E547E" w14:textId="67C42CC8" w:rsidR="00B22E08" w:rsidRDefault="00A77110" w:rsidP="00710824">
      <w:pPr>
        <w:pStyle w:val="ListParagraph"/>
        <w:spacing w:after="240"/>
        <w:ind w:left="709"/>
        <w:jc w:val="both"/>
      </w:pPr>
      <w:r w:rsidRPr="0084377F">
        <w:t>height Regulations</w:t>
      </w:r>
      <w:r w:rsidR="00E313F3" w:rsidRPr="0084377F">
        <w:t>, minimi</w:t>
      </w:r>
      <w:r w:rsidR="00497072">
        <w:t>s</w:t>
      </w:r>
      <w:r w:rsidR="00E313F3" w:rsidRPr="0084377F">
        <w:t xml:space="preserve">ing </w:t>
      </w:r>
      <w:r w:rsidR="00491F79" w:rsidRPr="0084377F">
        <w:t>the risk of harm</w:t>
      </w:r>
      <w:r w:rsidR="00E313F3" w:rsidRPr="0084377F">
        <w:t xml:space="preserve"> to </w:t>
      </w:r>
      <w:r w:rsidR="00532CF9" w:rsidRPr="0084377F">
        <w:t>employees</w:t>
      </w:r>
      <w:r w:rsidR="00E313F3" w:rsidRPr="0084377F">
        <w:t xml:space="preserve"> as they carry out their work activities</w:t>
      </w:r>
      <w:r w:rsidR="00710824">
        <w:t xml:space="preserve">.  </w:t>
      </w:r>
      <w:r w:rsidR="00084DE1">
        <w:t>M</w:t>
      </w:r>
      <w:r w:rsidR="0098368D" w:rsidRPr="00392A6B">
        <w:t xml:space="preserve">anagers must ensure that all persons who </w:t>
      </w:r>
      <w:r w:rsidR="0098368D">
        <w:t>are required to work at height</w:t>
      </w:r>
      <w:r w:rsidR="0098368D" w:rsidRPr="00392A6B">
        <w:t xml:space="preserve"> </w:t>
      </w:r>
      <w:r w:rsidR="00084DE1">
        <w:t xml:space="preserve">are </w:t>
      </w:r>
      <w:r w:rsidR="0098368D" w:rsidRPr="00392A6B">
        <w:t>provided with suitable and sufficient health and safety information</w:t>
      </w:r>
      <w:r w:rsidR="0098368D">
        <w:t>.</w:t>
      </w:r>
      <w:r w:rsidR="0098368D" w:rsidRPr="00392A6B">
        <w:t xml:space="preserve"> </w:t>
      </w:r>
    </w:p>
    <w:p w14:paraId="279F9BB1" w14:textId="77777777" w:rsidR="00710824" w:rsidRDefault="00710824" w:rsidP="00710824">
      <w:pPr>
        <w:pStyle w:val="ListParagraph"/>
        <w:spacing w:after="240"/>
        <w:ind w:left="709"/>
        <w:jc w:val="both"/>
      </w:pPr>
    </w:p>
    <w:p w14:paraId="020D53AC" w14:textId="344FC8B5" w:rsidR="00846661" w:rsidRDefault="009B5246" w:rsidP="0040681C">
      <w:pPr>
        <w:pStyle w:val="ListParagraph"/>
        <w:numPr>
          <w:ilvl w:val="1"/>
          <w:numId w:val="10"/>
        </w:numPr>
        <w:tabs>
          <w:tab w:val="left" w:pos="1134"/>
        </w:tabs>
        <w:spacing w:after="240"/>
        <w:jc w:val="both"/>
      </w:pPr>
      <w:r>
        <w:t xml:space="preserve">Information and </w:t>
      </w:r>
      <w:r w:rsidR="006E164A">
        <w:t>Risk assessments should be communicated in an appropriate language with those exposed to risk.</w:t>
      </w:r>
    </w:p>
    <w:p w14:paraId="69913C55" w14:textId="77777777" w:rsidR="00B067E2" w:rsidRDefault="00A95016" w:rsidP="00B067E2">
      <w:pPr>
        <w:numPr>
          <w:ilvl w:val="0"/>
          <w:numId w:val="2"/>
        </w:numPr>
        <w:tabs>
          <w:tab w:val="clear" w:pos="1162"/>
        </w:tabs>
        <w:spacing w:before="360" w:after="240"/>
        <w:ind w:left="709" w:hanging="709"/>
        <w:outlineLvl w:val="0"/>
        <w:rPr>
          <w:rFonts w:cs="Arial"/>
          <w:b/>
          <w:bCs/>
          <w:sz w:val="28"/>
          <w:szCs w:val="28"/>
        </w:rPr>
      </w:pPr>
      <w:bookmarkStart w:id="9" w:name="_Toc3380189"/>
      <w:bookmarkStart w:id="10" w:name="_Toc219109704"/>
      <w:r w:rsidRPr="00710824">
        <w:rPr>
          <w:rFonts w:cs="Arial"/>
          <w:b/>
          <w:bCs/>
          <w:sz w:val="28"/>
          <w:szCs w:val="28"/>
        </w:rPr>
        <w:t xml:space="preserve">Working at Heights – </w:t>
      </w:r>
      <w:r w:rsidR="00222950" w:rsidRPr="00710824">
        <w:rPr>
          <w:rFonts w:cs="Arial"/>
          <w:b/>
          <w:bCs/>
          <w:sz w:val="28"/>
          <w:szCs w:val="28"/>
        </w:rPr>
        <w:t>Overview</w:t>
      </w:r>
      <w:bookmarkEnd w:id="9"/>
      <w:bookmarkEnd w:id="10"/>
    </w:p>
    <w:p w14:paraId="725AC27F" w14:textId="77777777" w:rsidR="00944AFC" w:rsidRPr="00944AFC" w:rsidRDefault="00944AFC" w:rsidP="00944AFC">
      <w:pPr>
        <w:pStyle w:val="ListParagraph"/>
        <w:numPr>
          <w:ilvl w:val="0"/>
          <w:numId w:val="3"/>
        </w:numPr>
        <w:spacing w:after="240"/>
        <w:contextualSpacing w:val="0"/>
        <w:rPr>
          <w:rFonts w:eastAsia="Calibri" w:cs="Times New Roman"/>
          <w:vanish/>
          <w:szCs w:val="20"/>
          <w:lang w:eastAsia="en-US"/>
        </w:rPr>
      </w:pPr>
    </w:p>
    <w:p w14:paraId="3B726314" w14:textId="77777777" w:rsidR="00944AFC" w:rsidRPr="00944AFC" w:rsidRDefault="00944AFC" w:rsidP="00944AFC">
      <w:pPr>
        <w:pStyle w:val="ListParagraph"/>
        <w:numPr>
          <w:ilvl w:val="0"/>
          <w:numId w:val="3"/>
        </w:numPr>
        <w:spacing w:after="240"/>
        <w:contextualSpacing w:val="0"/>
        <w:rPr>
          <w:rFonts w:eastAsia="Calibri" w:cs="Times New Roman"/>
          <w:vanish/>
          <w:szCs w:val="20"/>
          <w:lang w:eastAsia="en-US"/>
        </w:rPr>
      </w:pPr>
    </w:p>
    <w:p w14:paraId="487EFB81" w14:textId="77777777" w:rsidR="00944AFC" w:rsidRPr="00944AFC" w:rsidRDefault="00944AFC" w:rsidP="00944AFC">
      <w:pPr>
        <w:pStyle w:val="ListParagraph"/>
        <w:numPr>
          <w:ilvl w:val="0"/>
          <w:numId w:val="3"/>
        </w:numPr>
        <w:spacing w:after="240"/>
        <w:contextualSpacing w:val="0"/>
        <w:rPr>
          <w:rFonts w:eastAsia="Calibri" w:cs="Times New Roman"/>
          <w:vanish/>
          <w:szCs w:val="20"/>
          <w:lang w:eastAsia="en-US"/>
        </w:rPr>
      </w:pPr>
    </w:p>
    <w:p w14:paraId="1751F62C" w14:textId="77777777" w:rsidR="00944AFC" w:rsidRDefault="00A95016" w:rsidP="00944AFC">
      <w:pPr>
        <w:pStyle w:val="PolLevel2"/>
        <w:tabs>
          <w:tab w:val="clear" w:pos="1162"/>
          <w:tab w:val="num" w:pos="0"/>
        </w:tabs>
        <w:ind w:left="709" w:hanging="709"/>
        <w:rPr>
          <w:b/>
          <w:bCs/>
          <w:sz w:val="28"/>
          <w:szCs w:val="28"/>
        </w:rPr>
      </w:pPr>
      <w:r w:rsidRPr="00B067E2">
        <w:t xml:space="preserve">The purpose of this document is to provide staff with clear guidance </w:t>
      </w:r>
      <w:r w:rsidR="005E4A4B" w:rsidRPr="00B067E2">
        <w:t xml:space="preserve">in respect of </w:t>
      </w:r>
      <w:r w:rsidRPr="00B067E2">
        <w:t>working at height</w:t>
      </w:r>
      <w:r w:rsidR="002A4E46" w:rsidRPr="00B067E2">
        <w:t>, either operationally, or on Trust</w:t>
      </w:r>
      <w:r w:rsidR="00BD3EC7" w:rsidRPr="00B067E2">
        <w:t xml:space="preserve"> premises</w:t>
      </w:r>
      <w:r w:rsidRPr="00B067E2">
        <w:t xml:space="preserve">. </w:t>
      </w:r>
    </w:p>
    <w:p w14:paraId="21ADA805" w14:textId="1CF25274" w:rsidR="00B067E2" w:rsidRPr="00944AFC" w:rsidRDefault="00A95016" w:rsidP="00944AFC">
      <w:pPr>
        <w:pStyle w:val="PolLevel2"/>
        <w:tabs>
          <w:tab w:val="clear" w:pos="1162"/>
          <w:tab w:val="num" w:pos="0"/>
        </w:tabs>
        <w:ind w:left="709" w:hanging="709"/>
        <w:rPr>
          <w:b/>
          <w:bCs/>
          <w:sz w:val="28"/>
          <w:szCs w:val="28"/>
        </w:rPr>
      </w:pPr>
      <w:r w:rsidRPr="00944AFC">
        <w:rPr>
          <w:rFonts w:cs="Arial"/>
        </w:rPr>
        <w:t>The Working at Heights Regulations 2005 requires all staff to:</w:t>
      </w:r>
    </w:p>
    <w:p w14:paraId="1EEDC980" w14:textId="77777777" w:rsidR="00B067E2" w:rsidRDefault="00A95016" w:rsidP="0040681C">
      <w:pPr>
        <w:pStyle w:val="ListParagraph"/>
        <w:numPr>
          <w:ilvl w:val="0"/>
          <w:numId w:val="9"/>
        </w:numPr>
        <w:spacing w:after="240"/>
      </w:pPr>
      <w:r>
        <w:t xml:space="preserve">Avoid working at height where it is reasonably practicable to do </w:t>
      </w:r>
      <w:r w:rsidR="000B7B79">
        <w:t>so.</w:t>
      </w:r>
      <w:r>
        <w:t xml:space="preserve"> </w:t>
      </w:r>
    </w:p>
    <w:p w14:paraId="097F4AE6" w14:textId="77777777" w:rsidR="00B067E2" w:rsidRDefault="00A95016" w:rsidP="0040681C">
      <w:pPr>
        <w:pStyle w:val="ListParagraph"/>
        <w:numPr>
          <w:ilvl w:val="0"/>
          <w:numId w:val="9"/>
        </w:numPr>
        <w:spacing w:after="240"/>
      </w:pPr>
      <w:r>
        <w:t xml:space="preserve">Where it cannot be avoided, to prevent falls by using either an existing place of work that is already safe or the right kind of </w:t>
      </w:r>
      <w:r w:rsidR="000B7B79">
        <w:t>equipment.</w:t>
      </w:r>
      <w:r>
        <w:t xml:space="preserve"> </w:t>
      </w:r>
    </w:p>
    <w:p w14:paraId="1DC0886B" w14:textId="3ADB48A9" w:rsidR="005E4895" w:rsidRDefault="00A95016" w:rsidP="0040681C">
      <w:pPr>
        <w:pStyle w:val="ListParagraph"/>
        <w:numPr>
          <w:ilvl w:val="0"/>
          <w:numId w:val="9"/>
        </w:numPr>
        <w:spacing w:after="240"/>
      </w:pPr>
      <w:r>
        <w:t>To minimise the distance and consequences of a fall, by using the right kind of equipment where the risk cannot be eliminated.</w:t>
      </w:r>
    </w:p>
    <w:p w14:paraId="3957D872" w14:textId="525F240E" w:rsidR="00A95016" w:rsidRPr="003C6251" w:rsidRDefault="00A95016" w:rsidP="003C6251">
      <w:pPr>
        <w:pStyle w:val="PolLevel2"/>
        <w:tabs>
          <w:tab w:val="clear" w:pos="1162"/>
          <w:tab w:val="num" w:pos="0"/>
        </w:tabs>
        <w:ind w:left="709" w:hanging="709"/>
        <w:rPr>
          <w:rFonts w:cs="Arial"/>
        </w:rPr>
      </w:pPr>
      <w:r w:rsidRPr="003C6251">
        <w:rPr>
          <w:rFonts w:cs="Arial"/>
        </w:rPr>
        <w:t xml:space="preserve">Staff should: </w:t>
      </w:r>
    </w:p>
    <w:p w14:paraId="7A174F33" w14:textId="7BCF1B32" w:rsidR="00A95016" w:rsidRDefault="00A95016" w:rsidP="0040681C">
      <w:pPr>
        <w:pStyle w:val="ListParagraph"/>
        <w:numPr>
          <w:ilvl w:val="0"/>
          <w:numId w:val="9"/>
        </w:numPr>
        <w:spacing w:after="240"/>
      </w:pPr>
      <w:r>
        <w:t xml:space="preserve">Do as much work as possible from the </w:t>
      </w:r>
      <w:r w:rsidR="000B7B79">
        <w:t>ground.</w:t>
      </w:r>
    </w:p>
    <w:p w14:paraId="6B4643CC" w14:textId="3BCC37EA" w:rsidR="00A95016" w:rsidRDefault="00A95016" w:rsidP="0040681C">
      <w:pPr>
        <w:pStyle w:val="ListParagraph"/>
        <w:numPr>
          <w:ilvl w:val="0"/>
          <w:numId w:val="9"/>
        </w:numPr>
        <w:spacing w:after="240"/>
      </w:pPr>
      <w:r>
        <w:t>Ensure workers can get s</w:t>
      </w:r>
      <w:r w:rsidR="00597B20">
        <w:t>a</w:t>
      </w:r>
      <w:r>
        <w:t xml:space="preserve">fely to and from where they work at </w:t>
      </w:r>
      <w:r w:rsidR="000B7B79">
        <w:t>height.</w:t>
      </w:r>
    </w:p>
    <w:p w14:paraId="01A3D516" w14:textId="5AEFD43C" w:rsidR="00A95016" w:rsidRDefault="00A95016" w:rsidP="0040681C">
      <w:pPr>
        <w:pStyle w:val="ListParagraph"/>
        <w:numPr>
          <w:ilvl w:val="0"/>
          <w:numId w:val="9"/>
        </w:numPr>
        <w:spacing w:after="240"/>
      </w:pPr>
      <w:r>
        <w:t xml:space="preserve">Ensure equipment is suitable, stable, and strong enough for the task, maintained, and checked </w:t>
      </w:r>
      <w:r w:rsidR="000B7B79">
        <w:t>regularly.</w:t>
      </w:r>
    </w:p>
    <w:p w14:paraId="053256BB" w14:textId="51B5EF0D" w:rsidR="00A95016" w:rsidRDefault="00A95016" w:rsidP="0040681C">
      <w:pPr>
        <w:pStyle w:val="ListParagraph"/>
        <w:numPr>
          <w:ilvl w:val="0"/>
          <w:numId w:val="13"/>
        </w:numPr>
        <w:spacing w:after="240"/>
      </w:pPr>
      <w:r>
        <w:t xml:space="preserve">Ensure that they do not overload or overreach when working at </w:t>
      </w:r>
      <w:r w:rsidR="000B7B79">
        <w:t>height.</w:t>
      </w:r>
    </w:p>
    <w:p w14:paraId="7735FE13" w14:textId="6BD40BF5" w:rsidR="00A95016" w:rsidRDefault="00A95016" w:rsidP="0040681C">
      <w:pPr>
        <w:pStyle w:val="ListParagraph"/>
        <w:numPr>
          <w:ilvl w:val="0"/>
          <w:numId w:val="13"/>
        </w:numPr>
        <w:spacing w:after="240"/>
      </w:pPr>
      <w:r>
        <w:t xml:space="preserve">Take precautions when working on or near fragile </w:t>
      </w:r>
      <w:r w:rsidR="000B7B79">
        <w:t>surfaces.</w:t>
      </w:r>
    </w:p>
    <w:p w14:paraId="6D6128CD" w14:textId="44CDA4E6" w:rsidR="00A95016" w:rsidRDefault="00A95016" w:rsidP="0040681C">
      <w:pPr>
        <w:pStyle w:val="ListParagraph"/>
        <w:numPr>
          <w:ilvl w:val="0"/>
          <w:numId w:val="13"/>
        </w:numPr>
        <w:spacing w:after="240"/>
      </w:pPr>
      <w:r>
        <w:t xml:space="preserve">Provide protection from falling </w:t>
      </w:r>
      <w:r w:rsidR="000B7B79">
        <w:t>objects.</w:t>
      </w:r>
    </w:p>
    <w:p w14:paraId="436731D7" w14:textId="77777777" w:rsidR="00A95016" w:rsidRDefault="00A95016" w:rsidP="0040681C">
      <w:pPr>
        <w:pStyle w:val="ListParagraph"/>
        <w:numPr>
          <w:ilvl w:val="0"/>
          <w:numId w:val="13"/>
        </w:numPr>
        <w:spacing w:after="240"/>
      </w:pPr>
      <w:r>
        <w:t>Consider emergency evacuation and rescue procedures.</w:t>
      </w:r>
    </w:p>
    <w:p w14:paraId="74DA1F27" w14:textId="77777777" w:rsidR="00A95016" w:rsidRDefault="00A95016" w:rsidP="00A95016">
      <w:pPr>
        <w:pStyle w:val="ListParagraph"/>
        <w:spacing w:after="240"/>
        <w:ind w:left="1882"/>
      </w:pPr>
    </w:p>
    <w:p w14:paraId="581758CF" w14:textId="7C478BA7" w:rsidR="00067D4C" w:rsidRPr="003C6251" w:rsidRDefault="00A95016" w:rsidP="003C6251">
      <w:pPr>
        <w:pStyle w:val="PolLevel2"/>
        <w:tabs>
          <w:tab w:val="clear" w:pos="1162"/>
          <w:tab w:val="num" w:pos="0"/>
        </w:tabs>
        <w:ind w:left="709" w:hanging="709"/>
        <w:rPr>
          <w:rFonts w:cs="Arial"/>
        </w:rPr>
      </w:pPr>
      <w:r w:rsidRPr="003C6251">
        <w:rPr>
          <w:rFonts w:cs="Arial"/>
        </w:rPr>
        <w:t xml:space="preserve">This recognises the emergency services’ </w:t>
      </w:r>
      <w:r w:rsidR="00B067E2" w:rsidRPr="003C6251">
        <w:rPr>
          <w:rFonts w:cs="Arial"/>
        </w:rPr>
        <w:t>well-intentioned</w:t>
      </w:r>
      <w:r w:rsidRPr="003C6251">
        <w:rPr>
          <w:rFonts w:cs="Arial"/>
        </w:rPr>
        <w:t xml:space="preserve"> improvisation to rescue and recover a casualty in emergency situations</w:t>
      </w:r>
      <w:r w:rsidR="00F7054C" w:rsidRPr="003C6251">
        <w:rPr>
          <w:rFonts w:cs="Arial"/>
        </w:rPr>
        <w:t>.</w:t>
      </w:r>
      <w:r w:rsidRPr="003C6251">
        <w:rPr>
          <w:rFonts w:cs="Arial"/>
        </w:rPr>
        <w:t xml:space="preserve"> The Trust accepts that in certain emergency situations, this could place employees at higher risk than would normally be accepted, but this risk </w:t>
      </w:r>
      <w:r w:rsidR="00497072" w:rsidRPr="003C6251">
        <w:rPr>
          <w:rFonts w:cs="Arial"/>
        </w:rPr>
        <w:t>must</w:t>
      </w:r>
      <w:r w:rsidRPr="003C6251">
        <w:rPr>
          <w:rFonts w:cs="Arial"/>
        </w:rPr>
        <w:t xml:space="preserve"> be balanced against the safety of those in danger and the need to give them care.</w:t>
      </w:r>
    </w:p>
    <w:p w14:paraId="074F4D37" w14:textId="77777777" w:rsidR="00067D4C" w:rsidRPr="003C6251" w:rsidRDefault="00A95016" w:rsidP="003C6251">
      <w:pPr>
        <w:pStyle w:val="PolLevel2"/>
        <w:tabs>
          <w:tab w:val="clear" w:pos="1162"/>
          <w:tab w:val="num" w:pos="0"/>
        </w:tabs>
        <w:ind w:left="709" w:hanging="709"/>
        <w:rPr>
          <w:rFonts w:cs="Arial"/>
        </w:rPr>
      </w:pPr>
      <w:r w:rsidRPr="003C6251">
        <w:rPr>
          <w:rFonts w:cs="Arial"/>
        </w:rPr>
        <w:t>The Trust also acknowledges its responsibility to monitor the implementation and progress of this procedure and to review it accordingly</w:t>
      </w:r>
      <w:r w:rsidR="00F7054C" w:rsidRPr="003C6251">
        <w:rPr>
          <w:rFonts w:cs="Arial"/>
        </w:rPr>
        <w:t>.</w:t>
      </w:r>
    </w:p>
    <w:p w14:paraId="0190F910" w14:textId="53D401A1" w:rsidR="00A95016" w:rsidRPr="003C6251" w:rsidRDefault="00A95016" w:rsidP="003C6251">
      <w:pPr>
        <w:pStyle w:val="PolLevel2"/>
        <w:tabs>
          <w:tab w:val="clear" w:pos="1162"/>
          <w:tab w:val="num" w:pos="0"/>
        </w:tabs>
        <w:ind w:left="709" w:hanging="709"/>
        <w:rPr>
          <w:rFonts w:cs="Arial"/>
        </w:rPr>
      </w:pPr>
      <w:r w:rsidRPr="003C6251">
        <w:rPr>
          <w:rFonts w:cs="Arial"/>
        </w:rPr>
        <w:t xml:space="preserve">The following are all requirements in law that you need to consider when            planning and undertaking work at height. Staff must: </w:t>
      </w:r>
    </w:p>
    <w:p w14:paraId="31AF8D77" w14:textId="0BAA94A7" w:rsidR="00A95016" w:rsidRPr="00BA59D0" w:rsidRDefault="00A95016" w:rsidP="0040681C">
      <w:pPr>
        <w:pStyle w:val="ListParagraph"/>
        <w:numPr>
          <w:ilvl w:val="0"/>
          <w:numId w:val="13"/>
        </w:numPr>
        <w:spacing w:after="240"/>
      </w:pPr>
      <w:r w:rsidRPr="00BA59D0">
        <w:t xml:space="preserve">Take account of weather conditions that could compromise worker </w:t>
      </w:r>
      <w:r w:rsidR="009E3EC4" w:rsidRPr="00BA59D0">
        <w:t>safety.</w:t>
      </w:r>
      <w:r w:rsidRPr="00BA59D0">
        <w:t xml:space="preserve"> </w:t>
      </w:r>
    </w:p>
    <w:p w14:paraId="36D2DFFB" w14:textId="0C72F892" w:rsidR="00A95016" w:rsidRPr="00BA59D0" w:rsidRDefault="00A95016" w:rsidP="0040681C">
      <w:pPr>
        <w:pStyle w:val="ListParagraph"/>
        <w:numPr>
          <w:ilvl w:val="0"/>
          <w:numId w:val="13"/>
        </w:numPr>
        <w:spacing w:after="240"/>
      </w:pPr>
      <w:r w:rsidRPr="00BA59D0">
        <w:t>Check that the place (</w:t>
      </w:r>
      <w:r w:rsidR="009E3EC4" w:rsidRPr="00BA59D0">
        <w:t>e.g.,</w:t>
      </w:r>
      <w:r w:rsidRPr="00BA59D0">
        <w:t xml:space="preserve"> a roof) where work at height is to be undertaken is safe. Each place where people will work at height needs to be checked every time, before </w:t>
      </w:r>
      <w:r w:rsidR="009E3EC4" w:rsidRPr="00BA59D0">
        <w:t>use.</w:t>
      </w:r>
      <w:r w:rsidRPr="00BA59D0">
        <w:t xml:space="preserve"> </w:t>
      </w:r>
    </w:p>
    <w:p w14:paraId="52E765AE" w14:textId="68604276" w:rsidR="00A95016" w:rsidRPr="00BA59D0" w:rsidRDefault="00A95016" w:rsidP="0040681C">
      <w:pPr>
        <w:pStyle w:val="ListParagraph"/>
        <w:numPr>
          <w:ilvl w:val="0"/>
          <w:numId w:val="13"/>
        </w:numPr>
        <w:spacing w:after="240"/>
      </w:pPr>
      <w:r w:rsidRPr="00BA59D0">
        <w:t xml:space="preserve">Stop materials or objects from falling or, if it is not reasonably practicable to prevent objects falling, take suitable and sufficient measures to make sure no one can be injured, </w:t>
      </w:r>
      <w:r w:rsidR="009E3EC4" w:rsidRPr="00BA59D0">
        <w:t>e.g.,</w:t>
      </w:r>
      <w:r w:rsidRPr="00BA59D0">
        <w:t xml:space="preserve"> use exclusion zones to keep people away or mesh on scaffold to stop materials such as bricks falling </w:t>
      </w:r>
      <w:r w:rsidR="009E3EC4" w:rsidRPr="00BA59D0">
        <w:t>off.</w:t>
      </w:r>
      <w:r w:rsidRPr="00BA59D0">
        <w:t xml:space="preserve"> </w:t>
      </w:r>
    </w:p>
    <w:p w14:paraId="12349CEE" w14:textId="43692123" w:rsidR="00A95016" w:rsidRPr="00BA59D0" w:rsidRDefault="00A95016" w:rsidP="0040681C">
      <w:pPr>
        <w:pStyle w:val="ListParagraph"/>
        <w:numPr>
          <w:ilvl w:val="0"/>
          <w:numId w:val="13"/>
        </w:numPr>
        <w:spacing w:after="240"/>
      </w:pPr>
      <w:r w:rsidRPr="00BA59D0">
        <w:t xml:space="preserve">Store materials and objects safely so they won’t cause injury if they are disturbed or </w:t>
      </w:r>
      <w:r w:rsidR="009E3EC4" w:rsidRPr="00BA59D0">
        <w:t>collapse.</w:t>
      </w:r>
      <w:r w:rsidRPr="00BA59D0">
        <w:t xml:space="preserve"> </w:t>
      </w:r>
    </w:p>
    <w:p w14:paraId="07750C57" w14:textId="1B6AF122" w:rsidR="00A95016" w:rsidRPr="00BA59D0" w:rsidRDefault="00A95016" w:rsidP="0040681C">
      <w:pPr>
        <w:pStyle w:val="ListParagraph"/>
        <w:numPr>
          <w:ilvl w:val="0"/>
          <w:numId w:val="13"/>
        </w:numPr>
        <w:spacing w:after="240"/>
      </w:pPr>
      <w:r w:rsidRPr="00BA59D0">
        <w:t xml:space="preserve">Plan for emergencies and rescue, </w:t>
      </w:r>
      <w:r w:rsidR="009E3EC4" w:rsidRPr="00BA59D0">
        <w:t>e.g.,</w:t>
      </w:r>
      <w:r w:rsidRPr="00BA59D0">
        <w:t xml:space="preserve"> agree a set procedure for evacuation. Think about foreseeable situations and make sure employees know the emergency procedures. </w:t>
      </w:r>
    </w:p>
    <w:p w14:paraId="7BECC6CF" w14:textId="2AC95737" w:rsidR="00A95016" w:rsidRPr="003C6251" w:rsidRDefault="00A95016" w:rsidP="00B8715F">
      <w:pPr>
        <w:pStyle w:val="PolLevel2"/>
        <w:tabs>
          <w:tab w:val="clear" w:pos="1162"/>
          <w:tab w:val="num" w:pos="0"/>
        </w:tabs>
        <w:ind w:left="709" w:hanging="709"/>
        <w:rPr>
          <w:rFonts w:cs="Arial"/>
        </w:rPr>
      </w:pPr>
      <w:r w:rsidRPr="003C6251">
        <w:rPr>
          <w:rFonts w:cs="Arial"/>
        </w:rPr>
        <w:t>When selecting equipment for working at height, managers must:</w:t>
      </w:r>
    </w:p>
    <w:p w14:paraId="4593F3C7" w14:textId="77777777" w:rsidR="00A95016" w:rsidRPr="003E6042" w:rsidRDefault="00A95016" w:rsidP="0040681C">
      <w:pPr>
        <w:pStyle w:val="ListParagraph"/>
        <w:numPr>
          <w:ilvl w:val="0"/>
          <w:numId w:val="13"/>
        </w:numPr>
        <w:spacing w:after="240"/>
      </w:pPr>
      <w:r w:rsidRPr="003E6042">
        <w:t>Provide the most suitable equipment appropriate for the work</w:t>
      </w:r>
      <w:r>
        <w:t xml:space="preserve"> and</w:t>
      </w:r>
      <w:r w:rsidRPr="003E6042">
        <w:t>;</w:t>
      </w:r>
    </w:p>
    <w:p w14:paraId="57FBE771" w14:textId="378A249B" w:rsidR="00A95016" w:rsidRDefault="00A95016" w:rsidP="0040681C">
      <w:pPr>
        <w:pStyle w:val="ListParagraph"/>
        <w:numPr>
          <w:ilvl w:val="0"/>
          <w:numId w:val="13"/>
        </w:numPr>
        <w:spacing w:after="240"/>
      </w:pPr>
      <w:r w:rsidRPr="003E6042">
        <w:t xml:space="preserve">Take account of factors </w:t>
      </w:r>
      <w:r w:rsidR="00DA70E3" w:rsidRPr="003E6042">
        <w:t>such as</w:t>
      </w:r>
      <w:r w:rsidRPr="003E6042">
        <w:t xml:space="preserve"> the working conditions (</w:t>
      </w:r>
      <w:r w:rsidR="009E3EC4" w:rsidRPr="003E6042">
        <w:t>e.g.,</w:t>
      </w:r>
      <w:r w:rsidRPr="003E6042">
        <w:t xml:space="preserve"> weather); the nature, frequency and duration of the work; and the risks to the safety of everyone where the work equipment will be used. </w:t>
      </w:r>
    </w:p>
    <w:p w14:paraId="2BDBEB23" w14:textId="77777777" w:rsidR="00067D4C" w:rsidRPr="00B8715F" w:rsidRDefault="00A95016" w:rsidP="00B8715F">
      <w:pPr>
        <w:pStyle w:val="PolLevel2"/>
        <w:tabs>
          <w:tab w:val="clear" w:pos="1162"/>
          <w:tab w:val="num" w:pos="0"/>
        </w:tabs>
        <w:ind w:left="709" w:hanging="709"/>
        <w:rPr>
          <w:rFonts w:cs="Arial"/>
        </w:rPr>
      </w:pPr>
      <w:r w:rsidRPr="00B8715F">
        <w:rPr>
          <w:rFonts w:cs="Arial"/>
        </w:rPr>
        <w:t xml:space="preserve">The Work at height Access equipment Information Toolkit (or WAIT) is a free online resource that offers possible solutions. It provides details of common types of equipment used for work at height. HSE has also produced a guide on the safe use of ladders and stepladders (see ‘References’). </w:t>
      </w:r>
    </w:p>
    <w:p w14:paraId="71EBEEBA" w14:textId="77777777" w:rsidR="00067D4C" w:rsidRPr="00B8715F" w:rsidRDefault="00A95016" w:rsidP="00B8715F">
      <w:pPr>
        <w:pStyle w:val="PolLevel2"/>
        <w:tabs>
          <w:tab w:val="clear" w:pos="1162"/>
          <w:tab w:val="num" w:pos="0"/>
        </w:tabs>
        <w:ind w:left="709" w:hanging="709"/>
        <w:rPr>
          <w:rFonts w:cs="Arial"/>
        </w:rPr>
      </w:pPr>
      <w:r w:rsidRPr="00B8715F">
        <w:rPr>
          <w:rFonts w:cs="Arial"/>
        </w:rPr>
        <w:t>Work equipment needs to be assembled or installed according to the manufacturer’s instructions, and in keeping with industry guidelines</w:t>
      </w:r>
      <w:r w:rsidR="004B1BE3" w:rsidRPr="00B8715F">
        <w:rPr>
          <w:rFonts w:cs="Arial"/>
        </w:rPr>
        <w:t xml:space="preserve">. </w:t>
      </w:r>
      <w:r w:rsidRPr="00B8715F">
        <w:rPr>
          <w:rFonts w:cs="Arial"/>
        </w:rPr>
        <w:t xml:space="preserve">Where the safety of the work equipment depends on how it has been installed or assembled, an employer should ensure it is not used until it has been inspected in that position by a competent person. </w:t>
      </w:r>
    </w:p>
    <w:p w14:paraId="5F126732" w14:textId="77777777" w:rsidR="00067D4C" w:rsidRPr="00B8715F" w:rsidRDefault="00A95016" w:rsidP="00B8715F">
      <w:pPr>
        <w:pStyle w:val="PolLevel2"/>
        <w:tabs>
          <w:tab w:val="clear" w:pos="1162"/>
          <w:tab w:val="num" w:pos="0"/>
        </w:tabs>
        <w:ind w:left="709" w:hanging="709"/>
        <w:rPr>
          <w:rFonts w:cs="Arial"/>
        </w:rPr>
      </w:pPr>
      <w:r w:rsidRPr="00B8715F">
        <w:rPr>
          <w:rFonts w:cs="Arial"/>
        </w:rPr>
        <w:t xml:space="preserve">A competent person is someone who has the necessary skills, experience </w:t>
      </w:r>
      <w:r w:rsidR="004F103A" w:rsidRPr="00B8715F">
        <w:rPr>
          <w:rFonts w:cs="Arial"/>
        </w:rPr>
        <w:t xml:space="preserve">  </w:t>
      </w:r>
      <w:r w:rsidRPr="00B8715F">
        <w:rPr>
          <w:rFonts w:cs="Arial"/>
        </w:rPr>
        <w:t xml:space="preserve">and knowledge to manage health and safety. Guidance on appointing a competent person can be found at www.hse.gov.uk/competence. </w:t>
      </w:r>
    </w:p>
    <w:p w14:paraId="3BAD1AAC" w14:textId="77777777" w:rsidR="00067D4C" w:rsidRPr="00B8715F" w:rsidRDefault="00A95016" w:rsidP="00B8715F">
      <w:pPr>
        <w:pStyle w:val="PolLevel2"/>
        <w:tabs>
          <w:tab w:val="clear" w:pos="1162"/>
          <w:tab w:val="num" w:pos="0"/>
        </w:tabs>
        <w:ind w:left="709" w:hanging="709"/>
        <w:rPr>
          <w:rFonts w:cs="Arial"/>
        </w:rPr>
      </w:pPr>
      <w:r w:rsidRPr="00B8715F">
        <w:rPr>
          <w:rFonts w:cs="Arial"/>
        </w:rPr>
        <w:t xml:space="preserve">Any equipment exposed to conditions that may cause it to deteriorate, and </w:t>
      </w:r>
      <w:r w:rsidR="004F103A" w:rsidRPr="00B8715F">
        <w:rPr>
          <w:rFonts w:cs="Arial"/>
        </w:rPr>
        <w:t xml:space="preserve">         </w:t>
      </w:r>
      <w:r w:rsidRPr="00B8715F">
        <w:rPr>
          <w:rFonts w:cs="Arial"/>
        </w:rPr>
        <w:t xml:space="preserve">result in a dangerous situation, should be inspected at suitable intervals appropriate to the environment and use. An inspection should be carried out every time something happens that may affect the safety or stability of the equipment, </w:t>
      </w:r>
      <w:r w:rsidR="009E3EC4" w:rsidRPr="00B8715F">
        <w:rPr>
          <w:rFonts w:cs="Arial"/>
        </w:rPr>
        <w:t>e.g.,</w:t>
      </w:r>
      <w:r w:rsidRPr="00B8715F">
        <w:rPr>
          <w:rFonts w:cs="Arial"/>
        </w:rPr>
        <w:t xml:space="preserve"> adverse weather, accidental damage. </w:t>
      </w:r>
    </w:p>
    <w:p w14:paraId="1DB8F46F" w14:textId="357CDA7D" w:rsidR="00A95016" w:rsidRPr="00B8715F" w:rsidRDefault="00A95016" w:rsidP="00B8715F">
      <w:pPr>
        <w:pStyle w:val="PolLevel2"/>
        <w:tabs>
          <w:tab w:val="clear" w:pos="1162"/>
          <w:tab w:val="num" w:pos="0"/>
        </w:tabs>
        <w:ind w:left="709" w:hanging="709"/>
        <w:rPr>
          <w:rFonts w:cs="Arial"/>
        </w:rPr>
      </w:pPr>
      <w:r w:rsidRPr="00B8715F">
        <w:rPr>
          <w:rFonts w:cs="Arial"/>
        </w:rPr>
        <w:t>The trust is required to keep a record of any inspection for types of work equipment including: guard rails, toe-boards, barriers or similar collective means of protection; working platforms (any platform used as a place of work or as a means of getting to and from work, e</w:t>
      </w:r>
      <w:r w:rsidR="00067D4C" w:rsidRPr="00B8715F">
        <w:rPr>
          <w:rFonts w:cs="Arial"/>
        </w:rPr>
        <w:t>.</w:t>
      </w:r>
      <w:r w:rsidRPr="00B8715F">
        <w:rPr>
          <w:rFonts w:cs="Arial"/>
        </w:rPr>
        <w:t>g</w:t>
      </w:r>
      <w:r w:rsidR="00067D4C" w:rsidRPr="00B8715F">
        <w:rPr>
          <w:rFonts w:cs="Arial"/>
        </w:rPr>
        <w:t>.</w:t>
      </w:r>
      <w:r w:rsidRPr="00B8715F">
        <w:rPr>
          <w:rFonts w:cs="Arial"/>
        </w:rPr>
        <w:t xml:space="preserve"> a gangway) that are fixed (eg a scaffold around a building) or mobile (e</w:t>
      </w:r>
      <w:r w:rsidR="00067D4C" w:rsidRPr="00B8715F">
        <w:rPr>
          <w:rFonts w:cs="Arial"/>
        </w:rPr>
        <w:t>.</w:t>
      </w:r>
      <w:r w:rsidRPr="00B8715F">
        <w:rPr>
          <w:rFonts w:cs="Arial"/>
        </w:rPr>
        <w:t>g</w:t>
      </w:r>
      <w:r w:rsidR="00067D4C" w:rsidRPr="00B8715F">
        <w:rPr>
          <w:rFonts w:cs="Arial"/>
        </w:rPr>
        <w:t>.</w:t>
      </w:r>
      <w:r w:rsidRPr="00B8715F">
        <w:rPr>
          <w:rFonts w:cs="Arial"/>
        </w:rPr>
        <w:t xml:space="preserve"> a mobile elevated working platform (MEWP) or scaffold tower); or a ladder. Any working platform used for construction work and from which a person could fall more than 2 metres must be inspected: </w:t>
      </w:r>
    </w:p>
    <w:p w14:paraId="5B860124" w14:textId="3F8612AD" w:rsidR="00A95016" w:rsidRPr="0049316B" w:rsidRDefault="00AC3171" w:rsidP="0040681C">
      <w:pPr>
        <w:pStyle w:val="ListParagraph"/>
        <w:numPr>
          <w:ilvl w:val="0"/>
          <w:numId w:val="13"/>
        </w:numPr>
        <w:spacing w:after="240"/>
      </w:pPr>
      <w:r>
        <w:t>A</w:t>
      </w:r>
      <w:r w:rsidR="00A95016" w:rsidRPr="0049316B">
        <w:t xml:space="preserve">fter assembly in any </w:t>
      </w:r>
      <w:r w:rsidRPr="0049316B">
        <w:t>position.</w:t>
      </w:r>
      <w:r w:rsidR="00A95016" w:rsidRPr="0049316B">
        <w:t xml:space="preserve"> </w:t>
      </w:r>
    </w:p>
    <w:p w14:paraId="3EE6B279" w14:textId="60A754BF" w:rsidR="00A95016" w:rsidRPr="0049316B" w:rsidRDefault="00AC3171" w:rsidP="0040681C">
      <w:pPr>
        <w:pStyle w:val="ListParagraph"/>
        <w:numPr>
          <w:ilvl w:val="0"/>
          <w:numId w:val="13"/>
        </w:numPr>
        <w:spacing w:after="240"/>
      </w:pPr>
      <w:r>
        <w:t>A</w:t>
      </w:r>
      <w:r w:rsidR="00A95016" w:rsidRPr="0049316B">
        <w:t>fter any event liable to have affected its stability</w:t>
      </w:r>
      <w:r>
        <w:t>.</w:t>
      </w:r>
    </w:p>
    <w:p w14:paraId="3359911E" w14:textId="2D5A098B" w:rsidR="00A95016" w:rsidRPr="0049316B" w:rsidRDefault="00AC3171" w:rsidP="0040681C">
      <w:pPr>
        <w:pStyle w:val="ListParagraph"/>
        <w:numPr>
          <w:ilvl w:val="0"/>
          <w:numId w:val="13"/>
        </w:numPr>
        <w:spacing w:after="240"/>
      </w:pPr>
      <w:r>
        <w:t>A</w:t>
      </w:r>
      <w:r w:rsidR="00A95016" w:rsidRPr="0049316B">
        <w:t xml:space="preserve">t intervals not exceeding seven days. </w:t>
      </w:r>
    </w:p>
    <w:p w14:paraId="41BF0B7A" w14:textId="77777777" w:rsidR="00161727" w:rsidRPr="00B8715F" w:rsidRDefault="00A95016" w:rsidP="00B8715F">
      <w:pPr>
        <w:pStyle w:val="PolLevel2"/>
        <w:tabs>
          <w:tab w:val="clear" w:pos="1162"/>
          <w:tab w:val="num" w:pos="0"/>
        </w:tabs>
        <w:ind w:left="709" w:hanging="709"/>
        <w:rPr>
          <w:rFonts w:cs="Arial"/>
        </w:rPr>
      </w:pPr>
      <w:r w:rsidRPr="00B8715F">
        <w:rPr>
          <w:rFonts w:cs="Arial"/>
        </w:rPr>
        <w:t>Where it is a mobile platform, a new inspection and report is not required every time it is moved to a new location on the same site. Any equipment, such as a MEWP, which has come from another business or rental company, must be accompanied by an indication (clear to everyone involved) when the last thorough examination has been carried out.</w:t>
      </w:r>
    </w:p>
    <w:p w14:paraId="65784006" w14:textId="77777777" w:rsidR="00161727" w:rsidRPr="00B8715F" w:rsidRDefault="00A95016" w:rsidP="00B8715F">
      <w:pPr>
        <w:pStyle w:val="PolLevel2"/>
        <w:tabs>
          <w:tab w:val="clear" w:pos="1162"/>
          <w:tab w:val="num" w:pos="0"/>
        </w:tabs>
        <w:ind w:left="709" w:hanging="709"/>
        <w:rPr>
          <w:rFonts w:cs="Arial"/>
        </w:rPr>
      </w:pPr>
      <w:r w:rsidRPr="00B8715F">
        <w:rPr>
          <w:rFonts w:cs="Arial"/>
        </w:rPr>
        <w:t>Employees have general legal duties to take reasonable care of themselves and others who may be affected by their acts or omissions, and to co-operate with their employer to enable their health and safety duties and requirements to be complied with.</w:t>
      </w:r>
    </w:p>
    <w:p w14:paraId="38518C67" w14:textId="6F30C846" w:rsidR="00A95016" w:rsidRPr="00B8715F" w:rsidRDefault="00A95016" w:rsidP="00B8715F">
      <w:pPr>
        <w:pStyle w:val="PolLevel2"/>
        <w:tabs>
          <w:tab w:val="clear" w:pos="1162"/>
          <w:tab w:val="num" w:pos="0"/>
        </w:tabs>
        <w:ind w:left="709" w:hanging="709"/>
        <w:rPr>
          <w:rFonts w:cs="Arial"/>
        </w:rPr>
      </w:pPr>
      <w:r w:rsidRPr="00B8715F">
        <w:rPr>
          <w:rFonts w:cs="Arial"/>
        </w:rPr>
        <w:t>For an employee, or those working under someone else’s control, the</w:t>
      </w:r>
      <w:r w:rsidR="00161727" w:rsidRPr="00B8715F">
        <w:rPr>
          <w:rFonts w:cs="Arial"/>
        </w:rPr>
        <w:t xml:space="preserve"> </w:t>
      </w:r>
      <w:r w:rsidRPr="00B8715F">
        <w:rPr>
          <w:rFonts w:cs="Arial"/>
        </w:rPr>
        <w:t>law says they must:</w:t>
      </w:r>
    </w:p>
    <w:p w14:paraId="2B8420B0" w14:textId="294371C6" w:rsidR="00A95016" w:rsidRPr="00FB78D2" w:rsidRDefault="008E7103" w:rsidP="0040681C">
      <w:pPr>
        <w:pStyle w:val="ListParagraph"/>
        <w:numPr>
          <w:ilvl w:val="0"/>
          <w:numId w:val="13"/>
        </w:numPr>
        <w:spacing w:after="240"/>
      </w:pPr>
      <w:r>
        <w:t>R</w:t>
      </w:r>
      <w:r w:rsidR="00A95016" w:rsidRPr="00FB78D2">
        <w:t xml:space="preserve">eport any safety hazard they identify to their </w:t>
      </w:r>
      <w:r w:rsidRPr="00FB78D2">
        <w:t>employer.</w:t>
      </w:r>
      <w:r w:rsidR="00A95016" w:rsidRPr="00FB78D2">
        <w:t xml:space="preserve"> </w:t>
      </w:r>
    </w:p>
    <w:p w14:paraId="0583A170" w14:textId="2174E7F1" w:rsidR="00D10F37" w:rsidRDefault="008E7103" w:rsidP="0040681C">
      <w:pPr>
        <w:pStyle w:val="ListParagraph"/>
        <w:numPr>
          <w:ilvl w:val="0"/>
          <w:numId w:val="13"/>
        </w:numPr>
        <w:spacing w:after="240"/>
      </w:pPr>
      <w:r>
        <w:t>U</w:t>
      </w:r>
      <w:r w:rsidR="00A95016" w:rsidRPr="00FB78D2">
        <w:t xml:space="preserve">se the equipment and safety devices supplied or given to them properly, in accordance with any training and instructions (unless they think that would be unsafe, in which case they should seek further instructions before continuing). </w:t>
      </w:r>
    </w:p>
    <w:p w14:paraId="5F8E4C5D" w14:textId="4CCEB29D" w:rsidR="00A95016" w:rsidRPr="00B8715F" w:rsidRDefault="00A95016" w:rsidP="00B8715F">
      <w:pPr>
        <w:pStyle w:val="PolLevel2"/>
        <w:tabs>
          <w:tab w:val="clear" w:pos="1162"/>
          <w:tab w:val="num" w:pos="0"/>
        </w:tabs>
        <w:ind w:left="709" w:hanging="709"/>
        <w:rPr>
          <w:rFonts w:cs="Arial"/>
        </w:rPr>
      </w:pPr>
      <w:r w:rsidRPr="00B8715F">
        <w:rPr>
          <w:rFonts w:cs="Arial"/>
        </w:rPr>
        <w:t xml:space="preserve">Employers must consult employees (either directly or via safety representatives), in good time, on health and safety matters. Issues that employees must be consulted on include: </w:t>
      </w:r>
    </w:p>
    <w:p w14:paraId="71146985" w14:textId="03ADFC0B" w:rsidR="00A95016" w:rsidRPr="00FB78D2" w:rsidRDefault="008E7103" w:rsidP="0040681C">
      <w:pPr>
        <w:pStyle w:val="ListParagraph"/>
        <w:numPr>
          <w:ilvl w:val="0"/>
          <w:numId w:val="13"/>
        </w:numPr>
        <w:spacing w:after="240"/>
      </w:pPr>
      <w:r>
        <w:t>R</w:t>
      </w:r>
      <w:r w:rsidR="00A95016" w:rsidRPr="00FB78D2">
        <w:t xml:space="preserve">isks arising from their </w:t>
      </w:r>
      <w:r w:rsidRPr="00FB78D2">
        <w:t>work.</w:t>
      </w:r>
      <w:r w:rsidR="00A95016" w:rsidRPr="00FB78D2">
        <w:t xml:space="preserve"> </w:t>
      </w:r>
    </w:p>
    <w:p w14:paraId="3720F613" w14:textId="0D4885B6" w:rsidR="00A95016" w:rsidRPr="00FB78D2" w:rsidRDefault="008E7103" w:rsidP="0040681C">
      <w:pPr>
        <w:pStyle w:val="ListParagraph"/>
        <w:numPr>
          <w:ilvl w:val="0"/>
          <w:numId w:val="13"/>
        </w:numPr>
        <w:spacing w:after="240"/>
      </w:pPr>
      <w:r>
        <w:t>P</w:t>
      </w:r>
      <w:r w:rsidR="00A95016" w:rsidRPr="00FB78D2">
        <w:t>roposals to manage and/or control these risks</w:t>
      </w:r>
      <w:r>
        <w:t>.</w:t>
      </w:r>
    </w:p>
    <w:p w14:paraId="068CF9F8" w14:textId="2EF54D65" w:rsidR="00A95016" w:rsidRPr="00FB78D2" w:rsidRDefault="008E7103" w:rsidP="0040681C">
      <w:pPr>
        <w:pStyle w:val="ListParagraph"/>
        <w:numPr>
          <w:ilvl w:val="0"/>
          <w:numId w:val="13"/>
        </w:numPr>
        <w:spacing w:after="240"/>
      </w:pPr>
      <w:r>
        <w:t>t</w:t>
      </w:r>
      <w:r w:rsidR="00A95016" w:rsidRPr="00FB78D2">
        <w:t xml:space="preserve">he best ways of providing information and training. </w:t>
      </w:r>
    </w:p>
    <w:p w14:paraId="14C4F94C" w14:textId="0DC6C713" w:rsidR="00C63F98" w:rsidRPr="00B8715F" w:rsidRDefault="00A95016" w:rsidP="00B8715F">
      <w:pPr>
        <w:pStyle w:val="PolLevel2"/>
        <w:tabs>
          <w:tab w:val="clear" w:pos="1162"/>
          <w:tab w:val="num" w:pos="0"/>
        </w:tabs>
        <w:ind w:left="709" w:hanging="709"/>
        <w:rPr>
          <w:rFonts w:cs="Arial"/>
        </w:rPr>
      </w:pPr>
      <w:r w:rsidRPr="00B8715F">
        <w:rPr>
          <w:rFonts w:cs="Arial"/>
        </w:rPr>
        <w:t xml:space="preserve">Employers can ask employees and their representatives what they think the hazards are, as they may notice things that are not obvious and may have some good, practical ideas on how to control the risks. </w:t>
      </w:r>
    </w:p>
    <w:p w14:paraId="18C0B3E8" w14:textId="77777777" w:rsidR="00C403A0" w:rsidRPr="0040381C" w:rsidRDefault="00C403A0" w:rsidP="00FB6871">
      <w:pPr>
        <w:numPr>
          <w:ilvl w:val="0"/>
          <w:numId w:val="2"/>
        </w:numPr>
        <w:tabs>
          <w:tab w:val="clear" w:pos="1162"/>
          <w:tab w:val="left" w:pos="709"/>
        </w:tabs>
        <w:spacing w:before="360" w:after="240"/>
        <w:outlineLvl w:val="0"/>
        <w:rPr>
          <w:rFonts w:cs="Arial"/>
          <w:b/>
          <w:bCs/>
          <w:sz w:val="28"/>
          <w:szCs w:val="28"/>
        </w:rPr>
      </w:pPr>
      <w:bookmarkStart w:id="11" w:name="_Toc528242080"/>
      <w:bookmarkStart w:id="12" w:name="_Toc219109705"/>
      <w:bookmarkStart w:id="13" w:name="PolicyDefinitions"/>
      <w:r w:rsidRPr="0040381C">
        <w:rPr>
          <w:rFonts w:cs="Arial"/>
          <w:b/>
          <w:bCs/>
          <w:sz w:val="28"/>
          <w:szCs w:val="28"/>
        </w:rPr>
        <w:t>Definitions</w:t>
      </w:r>
      <w:bookmarkEnd w:id="11"/>
      <w:bookmarkEnd w:id="12"/>
    </w:p>
    <w:tbl>
      <w:tblPr>
        <w:tblW w:w="9052" w:type="dxa"/>
        <w:tblInd w:w="10" w:type="dxa"/>
        <w:tblLayout w:type="fixed"/>
        <w:tblCellMar>
          <w:left w:w="0" w:type="dxa"/>
          <w:right w:w="0" w:type="dxa"/>
        </w:tblCellMar>
        <w:tblLook w:val="0000" w:firstRow="0" w:lastRow="0" w:firstColumn="0" w:lastColumn="0" w:noHBand="0" w:noVBand="0"/>
      </w:tblPr>
      <w:tblGrid>
        <w:gridCol w:w="2390"/>
        <w:gridCol w:w="6662"/>
      </w:tblGrid>
      <w:tr w:rsidR="00571093" w14:paraId="3D541F5F" w14:textId="77777777" w:rsidTr="009B5246">
        <w:trPr>
          <w:trHeight w:val="405"/>
        </w:trPr>
        <w:tc>
          <w:tcPr>
            <w:tcW w:w="2390" w:type="dxa"/>
            <w:tcBorders>
              <w:top w:val="single" w:sz="8" w:space="0" w:color="A0A0A0"/>
              <w:left w:val="single" w:sz="8" w:space="0" w:color="A0A0A0"/>
              <w:right w:val="single" w:sz="8" w:space="0" w:color="A0A0A0"/>
            </w:tcBorders>
            <w:vAlign w:val="center"/>
          </w:tcPr>
          <w:bookmarkEnd w:id="13"/>
          <w:p w14:paraId="14A2A8BF" w14:textId="2E510EA5" w:rsidR="00571093" w:rsidRDefault="00571093" w:rsidP="009B5246">
            <w:pPr>
              <w:spacing w:line="0" w:lineRule="atLeast"/>
              <w:jc w:val="center"/>
              <w:rPr>
                <w:rFonts w:eastAsia="Arial"/>
                <w:b/>
              </w:rPr>
            </w:pPr>
            <w:r>
              <w:rPr>
                <w:rFonts w:eastAsia="Arial"/>
                <w:b/>
              </w:rPr>
              <w:t>Work</w:t>
            </w:r>
            <w:r w:rsidR="009B5246">
              <w:rPr>
                <w:rFonts w:eastAsia="Arial"/>
                <w:b/>
              </w:rPr>
              <w:t>ing at Height</w:t>
            </w:r>
          </w:p>
        </w:tc>
        <w:tc>
          <w:tcPr>
            <w:tcW w:w="6662" w:type="dxa"/>
            <w:tcBorders>
              <w:top w:val="single" w:sz="8" w:space="0" w:color="A0A0A0"/>
              <w:right w:val="single" w:sz="8" w:space="0" w:color="A0A0A0"/>
            </w:tcBorders>
            <w:vAlign w:val="bottom"/>
          </w:tcPr>
          <w:p w14:paraId="3F305C5D" w14:textId="444E5BAF" w:rsidR="00571093" w:rsidRDefault="009B5246" w:rsidP="009B5246">
            <w:pPr>
              <w:pStyle w:val="NormalWeb"/>
              <w:rPr>
                <w:rFonts w:eastAsia="Arial"/>
              </w:rPr>
            </w:pPr>
            <w:r w:rsidRPr="009B5246">
              <w:rPr>
                <w:rFonts w:ascii="Arial" w:eastAsia="Arial" w:hAnsi="Arial"/>
                <w:sz w:val="24"/>
              </w:rPr>
              <w:t>“Work at height means work in any place where, if there were no precautions in place, a person could fall a distance liable to cause personal injury</w:t>
            </w:r>
            <w:r w:rsidR="004B1BE3" w:rsidRPr="009B5246">
              <w:rPr>
                <w:rFonts w:ascii="Arial" w:eastAsia="Arial" w:hAnsi="Arial"/>
                <w:sz w:val="24"/>
              </w:rPr>
              <w:t>.”</w:t>
            </w:r>
            <w:r w:rsidRPr="009B5246">
              <w:rPr>
                <w:rFonts w:ascii="Arial" w:eastAsia="Arial" w:hAnsi="Arial"/>
                <w:sz w:val="24"/>
              </w:rPr>
              <w:t xml:space="preserve"> </w:t>
            </w:r>
            <w:r>
              <w:rPr>
                <w:rFonts w:ascii="Arial" w:eastAsia="Arial" w:hAnsi="Arial"/>
                <w:sz w:val="24"/>
              </w:rPr>
              <w:t xml:space="preserve">                                                          T</w:t>
            </w:r>
            <w:r w:rsidRPr="009B5246">
              <w:rPr>
                <w:rFonts w:ascii="Arial" w:eastAsia="Arial" w:hAnsi="Arial"/>
                <w:sz w:val="24"/>
              </w:rPr>
              <w:t xml:space="preserve">his could be above or below ground level. </w:t>
            </w:r>
          </w:p>
        </w:tc>
      </w:tr>
      <w:tr w:rsidR="00571093" w14:paraId="2BF34A9B" w14:textId="77777777" w:rsidTr="001F708D">
        <w:trPr>
          <w:trHeight w:val="80"/>
        </w:trPr>
        <w:tc>
          <w:tcPr>
            <w:tcW w:w="2390" w:type="dxa"/>
            <w:tcBorders>
              <w:left w:val="single" w:sz="8" w:space="0" w:color="A0A0A0"/>
              <w:bottom w:val="single" w:sz="8" w:space="0" w:color="A0A0A0"/>
              <w:right w:val="single" w:sz="8" w:space="0" w:color="A0A0A0"/>
            </w:tcBorders>
            <w:vAlign w:val="bottom"/>
          </w:tcPr>
          <w:p w14:paraId="3935555F" w14:textId="77777777" w:rsidR="00571093" w:rsidRDefault="00571093" w:rsidP="0032282C">
            <w:pPr>
              <w:spacing w:line="0" w:lineRule="atLeast"/>
              <w:rPr>
                <w:rFonts w:ascii="Times New Roman" w:hAnsi="Times New Roman"/>
                <w:sz w:val="10"/>
              </w:rPr>
            </w:pPr>
          </w:p>
        </w:tc>
        <w:tc>
          <w:tcPr>
            <w:tcW w:w="6662" w:type="dxa"/>
            <w:tcBorders>
              <w:bottom w:val="single" w:sz="8" w:space="0" w:color="A0A0A0"/>
              <w:right w:val="single" w:sz="8" w:space="0" w:color="A0A0A0"/>
            </w:tcBorders>
            <w:vAlign w:val="bottom"/>
          </w:tcPr>
          <w:p w14:paraId="4E18E418" w14:textId="77777777" w:rsidR="00571093" w:rsidRDefault="00571093" w:rsidP="0032282C">
            <w:pPr>
              <w:spacing w:line="0" w:lineRule="atLeast"/>
              <w:rPr>
                <w:rFonts w:ascii="Times New Roman" w:hAnsi="Times New Roman"/>
                <w:sz w:val="10"/>
              </w:rPr>
            </w:pPr>
          </w:p>
        </w:tc>
      </w:tr>
    </w:tbl>
    <w:p w14:paraId="4AFB0251" w14:textId="7A6F96D8" w:rsidR="00C403A0" w:rsidRPr="00571093" w:rsidRDefault="00C403A0" w:rsidP="0032282C">
      <w:pPr>
        <w:spacing w:after="240"/>
        <w:rPr>
          <w:rFonts w:cs="Arial"/>
        </w:rPr>
      </w:pPr>
    </w:p>
    <w:p w14:paraId="3D4A39BC" w14:textId="7A86B08E" w:rsidR="00037DFF" w:rsidRPr="00037DFF" w:rsidRDefault="0040381C" w:rsidP="00037DFF">
      <w:pPr>
        <w:numPr>
          <w:ilvl w:val="0"/>
          <w:numId w:val="2"/>
        </w:numPr>
        <w:tabs>
          <w:tab w:val="clear" w:pos="1162"/>
          <w:tab w:val="left" w:pos="709"/>
        </w:tabs>
        <w:spacing w:before="360" w:after="240"/>
        <w:outlineLvl w:val="0"/>
        <w:rPr>
          <w:rFonts w:cs="Arial"/>
          <w:sz w:val="28"/>
          <w:szCs w:val="28"/>
        </w:rPr>
      </w:pPr>
      <w:bookmarkStart w:id="14" w:name="_Toc528242081"/>
      <w:bookmarkStart w:id="15" w:name="_Toc219109706"/>
      <w:r w:rsidRPr="00037DFF">
        <w:rPr>
          <w:rFonts w:cs="Arial"/>
          <w:b/>
          <w:bCs/>
          <w:sz w:val="28"/>
          <w:szCs w:val="28"/>
        </w:rPr>
        <w:t>Responsibilities</w:t>
      </w:r>
      <w:bookmarkEnd w:id="14"/>
      <w:bookmarkEnd w:id="15"/>
    </w:p>
    <w:p w14:paraId="40C74028" w14:textId="6395B391" w:rsidR="00037DFF" w:rsidRDefault="00037DFF" w:rsidP="00037DFF">
      <w:pPr>
        <w:rPr>
          <w:rFonts w:cs="Arial"/>
          <w:sz w:val="28"/>
          <w:szCs w:val="28"/>
        </w:rPr>
      </w:pPr>
    </w:p>
    <w:p w14:paraId="570A96CE" w14:textId="222BCCD5" w:rsidR="00037DFF" w:rsidRDefault="00037DFF" w:rsidP="00037DFF">
      <w:pPr>
        <w:numPr>
          <w:ilvl w:val="1"/>
          <w:numId w:val="2"/>
        </w:numPr>
        <w:spacing w:after="240"/>
      </w:pPr>
      <w:r w:rsidRPr="00C97D72">
        <w:t xml:space="preserve">The </w:t>
      </w:r>
      <w:r w:rsidRPr="00C97D72">
        <w:rPr>
          <w:b/>
        </w:rPr>
        <w:t>Chief Executive</w:t>
      </w:r>
      <w:r>
        <w:rPr>
          <w:b/>
        </w:rPr>
        <w:t xml:space="preserve"> Officer</w:t>
      </w:r>
      <w:r w:rsidRPr="00C97D72">
        <w:rPr>
          <w:b/>
        </w:rPr>
        <w:t xml:space="preserve"> </w:t>
      </w:r>
      <w:r w:rsidRPr="00C97D72">
        <w:t xml:space="preserve">has overall </w:t>
      </w:r>
      <w:r>
        <w:t>accountability</w:t>
      </w:r>
      <w:r w:rsidRPr="00C97D72">
        <w:t xml:space="preserve"> for health and safety </w:t>
      </w:r>
      <w:r>
        <w:t>within the Trust, and for t</w:t>
      </w:r>
      <w:r w:rsidRPr="00290608">
        <w:t>he suc</w:t>
      </w:r>
      <w:r>
        <w:t>cessful implementation of this p</w:t>
      </w:r>
      <w:r w:rsidRPr="00290608">
        <w:t>olicy</w:t>
      </w:r>
      <w:r w:rsidR="004B1BE3">
        <w:t xml:space="preserve">. </w:t>
      </w:r>
    </w:p>
    <w:p w14:paraId="4C483E78" w14:textId="45495609" w:rsidR="00037DFF" w:rsidRDefault="00037DFF" w:rsidP="00037DFF">
      <w:pPr>
        <w:numPr>
          <w:ilvl w:val="1"/>
          <w:numId w:val="2"/>
        </w:numPr>
        <w:tabs>
          <w:tab w:val="left" w:pos="1162"/>
        </w:tabs>
        <w:spacing w:after="240"/>
      </w:pPr>
      <w:r>
        <w:t>The</w:t>
      </w:r>
      <w:r w:rsidRPr="00C97D72">
        <w:t xml:space="preserve"> </w:t>
      </w:r>
      <w:r>
        <w:t xml:space="preserve">Executive </w:t>
      </w:r>
      <w:r w:rsidRPr="00C97D72">
        <w:rPr>
          <w:b/>
        </w:rPr>
        <w:t xml:space="preserve">Director </w:t>
      </w:r>
      <w:r>
        <w:rPr>
          <w:b/>
        </w:rPr>
        <w:t xml:space="preserve">Quality </w:t>
      </w:r>
      <w:r w:rsidR="00ED5B1A">
        <w:rPr>
          <w:b/>
        </w:rPr>
        <w:t xml:space="preserve">and Nursing </w:t>
      </w:r>
      <w:r>
        <w:t>is the d</w:t>
      </w:r>
      <w:r w:rsidRPr="00C97D72">
        <w:t xml:space="preserve">irector with delegated responsibility for </w:t>
      </w:r>
      <w:r>
        <w:t>e</w:t>
      </w:r>
      <w:r w:rsidRPr="00290608">
        <w:t xml:space="preserve">nsuring that the Trust is compliant with </w:t>
      </w:r>
      <w:r>
        <w:t>h</w:t>
      </w:r>
      <w:r w:rsidRPr="00290608">
        <w:t xml:space="preserve">ealth and </w:t>
      </w:r>
      <w:r>
        <w:t>safety legislation, and for</w:t>
      </w:r>
      <w:r w:rsidRPr="00C97D72">
        <w:t xml:space="preserve"> managing the strategic development and implementation of this procedure as part of the risk</w:t>
      </w:r>
      <w:r>
        <w:t>,</w:t>
      </w:r>
      <w:r w:rsidRPr="00C97D72">
        <w:t xml:space="preserve"> health and safety process</w:t>
      </w:r>
      <w:r>
        <w:t>.</w:t>
      </w:r>
    </w:p>
    <w:p w14:paraId="0A914F13" w14:textId="28F58F90" w:rsidR="00037DFF" w:rsidRDefault="00037DFF" w:rsidP="00037DFF">
      <w:pPr>
        <w:numPr>
          <w:ilvl w:val="1"/>
          <w:numId w:val="2"/>
        </w:numPr>
        <w:tabs>
          <w:tab w:val="left" w:pos="1162"/>
        </w:tabs>
        <w:spacing w:after="240"/>
      </w:pPr>
      <w:r>
        <w:rPr>
          <w:b/>
        </w:rPr>
        <w:t>A</w:t>
      </w:r>
      <w:r w:rsidRPr="00C97D72">
        <w:rPr>
          <w:b/>
        </w:rPr>
        <w:t>ll Managers</w:t>
      </w:r>
      <w:r w:rsidRPr="00290608">
        <w:t xml:space="preserve"> have been delegated the respon</w:t>
      </w:r>
      <w:r>
        <w:t>sibility for implementing this p</w:t>
      </w:r>
      <w:r w:rsidRPr="00290608">
        <w:t>olicy within their areas of control</w:t>
      </w:r>
      <w:r w:rsidR="004B1BE3" w:rsidRPr="00290608">
        <w:t>.</w:t>
      </w:r>
      <w:r w:rsidR="004B1BE3">
        <w:t xml:space="preserve"> </w:t>
      </w:r>
      <w:r>
        <w:t>All managers are responsible for undertaking written risk assessments and for reviewing these with their staff</w:t>
      </w:r>
      <w:r w:rsidR="004B1BE3">
        <w:t xml:space="preserve">. </w:t>
      </w:r>
      <w:r>
        <w:t>Following any accident or near miss, managers must undertake an investigation and record this on the Datix system</w:t>
      </w:r>
      <w:r w:rsidR="004B1BE3">
        <w:t xml:space="preserve">. </w:t>
      </w:r>
      <w:r>
        <w:t xml:space="preserve">All managers are responsible for ensuring their staff are regularly trained in manual handling. </w:t>
      </w:r>
      <w:r w:rsidRPr="00BC6E31">
        <w:t>Managers</w:t>
      </w:r>
      <w:r w:rsidRPr="00BC6E31">
        <w:rPr>
          <w:b/>
        </w:rPr>
        <w:t xml:space="preserve"> </w:t>
      </w:r>
      <w:r>
        <w:t>are responsible for ensuring that the principles of this policy are applied by the staff under their management in their workplace locations and that their staff understand their role in reducing risks</w:t>
      </w:r>
      <w:r w:rsidR="004B1BE3">
        <w:t xml:space="preserve">. </w:t>
      </w:r>
    </w:p>
    <w:p w14:paraId="03933857" w14:textId="24E2522C" w:rsidR="00037DFF" w:rsidRDefault="00330924" w:rsidP="00037DFF">
      <w:pPr>
        <w:numPr>
          <w:ilvl w:val="1"/>
          <w:numId w:val="2"/>
        </w:numPr>
        <w:tabs>
          <w:tab w:val="left" w:pos="1162"/>
        </w:tabs>
        <w:spacing w:after="240"/>
      </w:pPr>
      <w:r>
        <w:rPr>
          <w:b/>
        </w:rPr>
        <w:t xml:space="preserve">Health and Safety </w:t>
      </w:r>
      <w:r w:rsidR="00B1781E">
        <w:rPr>
          <w:b/>
        </w:rPr>
        <w:t>Team</w:t>
      </w:r>
      <w:r w:rsidR="00037DFF" w:rsidRPr="00A715AD">
        <w:rPr>
          <w:b/>
        </w:rPr>
        <w:t xml:space="preserve"> </w:t>
      </w:r>
      <w:r>
        <w:t>will:</w:t>
      </w:r>
    </w:p>
    <w:p w14:paraId="39359313" w14:textId="00D0377C" w:rsidR="00330924" w:rsidRDefault="00330924" w:rsidP="0040681C">
      <w:pPr>
        <w:pStyle w:val="ListParagraph"/>
        <w:numPr>
          <w:ilvl w:val="0"/>
          <w:numId w:val="14"/>
        </w:numPr>
        <w:spacing w:after="240"/>
      </w:pPr>
      <w:r>
        <w:t>Act as the focus for advice and guidance</w:t>
      </w:r>
    </w:p>
    <w:p w14:paraId="1B755F28" w14:textId="7E024BD5" w:rsidR="00330924" w:rsidRDefault="00330924" w:rsidP="0040681C">
      <w:pPr>
        <w:pStyle w:val="ListParagraph"/>
        <w:numPr>
          <w:ilvl w:val="0"/>
          <w:numId w:val="14"/>
        </w:numPr>
        <w:spacing w:after="240"/>
      </w:pPr>
      <w:r>
        <w:t>Develop Trust Policy</w:t>
      </w:r>
    </w:p>
    <w:p w14:paraId="4EED3B21" w14:textId="2EF44D59" w:rsidR="00330924" w:rsidRDefault="00330924" w:rsidP="0040681C">
      <w:pPr>
        <w:pStyle w:val="ListParagraph"/>
        <w:numPr>
          <w:ilvl w:val="0"/>
          <w:numId w:val="14"/>
        </w:numPr>
        <w:spacing w:after="240"/>
      </w:pPr>
      <w:r>
        <w:t xml:space="preserve">Follow up any related incidents and make appropriate </w:t>
      </w:r>
      <w:r w:rsidR="009E3EC4">
        <w:t>recommendations.</w:t>
      </w:r>
    </w:p>
    <w:p w14:paraId="392436CC" w14:textId="53C9EF19" w:rsidR="00330924" w:rsidRDefault="00330924" w:rsidP="0040681C">
      <w:pPr>
        <w:pStyle w:val="ListParagraph"/>
        <w:numPr>
          <w:ilvl w:val="0"/>
          <w:numId w:val="14"/>
        </w:numPr>
        <w:spacing w:after="240"/>
      </w:pPr>
      <w:r>
        <w:t>Ensure that any Working at heights issue</w:t>
      </w:r>
      <w:r w:rsidR="0018281E">
        <w:t>s arising from health and safety audits and inspections are highlighted to the relevant manager.</w:t>
      </w:r>
    </w:p>
    <w:p w14:paraId="1C302CB4" w14:textId="70E91934" w:rsidR="00037DFF" w:rsidRDefault="00330924" w:rsidP="00161727">
      <w:pPr>
        <w:numPr>
          <w:ilvl w:val="1"/>
          <w:numId w:val="2"/>
        </w:numPr>
        <w:tabs>
          <w:tab w:val="left" w:pos="1162"/>
        </w:tabs>
        <w:spacing w:after="240"/>
      </w:pPr>
      <w:r w:rsidRPr="00A715AD">
        <w:rPr>
          <w:b/>
        </w:rPr>
        <w:t>Employees</w:t>
      </w:r>
      <w:r>
        <w:rPr>
          <w:b/>
        </w:rPr>
        <w:t>, contractors and volunteers</w:t>
      </w:r>
      <w:r w:rsidRPr="00A715AD">
        <w:rPr>
          <w:b/>
        </w:rPr>
        <w:t xml:space="preserve"> </w:t>
      </w:r>
      <w:r w:rsidRPr="00B826FB">
        <w:t>are responsible for</w:t>
      </w:r>
      <w:r>
        <w:t xml:space="preserve"> understanding and carrying out their responsibilities under this </w:t>
      </w:r>
      <w:r w:rsidR="00317316">
        <w:t>policy and</w:t>
      </w:r>
      <w:r>
        <w:t xml:space="preserve"> having an awareness of the responsibilities of others.</w:t>
      </w:r>
    </w:p>
    <w:p w14:paraId="56F5C09D" w14:textId="63931EFE" w:rsidR="004C57F6" w:rsidRDefault="00DB1916" w:rsidP="00C80B90">
      <w:pPr>
        <w:keepNext/>
        <w:numPr>
          <w:ilvl w:val="0"/>
          <w:numId w:val="2"/>
        </w:numPr>
        <w:tabs>
          <w:tab w:val="clear" w:pos="1162"/>
          <w:tab w:val="left" w:pos="709"/>
        </w:tabs>
        <w:spacing w:before="360" w:after="240"/>
        <w:outlineLvl w:val="0"/>
        <w:rPr>
          <w:rFonts w:cs="Arial"/>
          <w:b/>
          <w:bCs/>
          <w:sz w:val="28"/>
          <w:szCs w:val="28"/>
        </w:rPr>
      </w:pPr>
      <w:bookmarkStart w:id="16" w:name="_Toc219109707"/>
      <w:r>
        <w:rPr>
          <w:rFonts w:cs="Arial"/>
          <w:b/>
          <w:bCs/>
          <w:sz w:val="28"/>
          <w:szCs w:val="28"/>
        </w:rPr>
        <w:t xml:space="preserve">Education </w:t>
      </w:r>
      <w:r w:rsidR="00037DFF">
        <w:rPr>
          <w:rFonts w:cs="Arial"/>
          <w:b/>
          <w:bCs/>
          <w:sz w:val="28"/>
          <w:szCs w:val="28"/>
        </w:rPr>
        <w:t xml:space="preserve">and </w:t>
      </w:r>
      <w:r>
        <w:rPr>
          <w:rFonts w:cs="Arial"/>
          <w:b/>
          <w:bCs/>
          <w:sz w:val="28"/>
          <w:szCs w:val="28"/>
        </w:rPr>
        <w:t>Training</w:t>
      </w:r>
      <w:bookmarkEnd w:id="16"/>
    </w:p>
    <w:p w14:paraId="113580F2" w14:textId="418F4A93" w:rsidR="00B9236F" w:rsidRPr="00B8715F" w:rsidRDefault="00B8715F" w:rsidP="00B8715F">
      <w:pPr>
        <w:numPr>
          <w:ilvl w:val="1"/>
          <w:numId w:val="2"/>
        </w:numPr>
        <w:tabs>
          <w:tab w:val="left" w:pos="1162"/>
        </w:tabs>
        <w:spacing w:after="240"/>
        <w:rPr>
          <w:bCs/>
        </w:rPr>
      </w:pPr>
      <w:r>
        <w:rPr>
          <w:bCs/>
        </w:rPr>
        <w:t>R</w:t>
      </w:r>
      <w:r w:rsidR="00B9236F" w:rsidRPr="00B8715F">
        <w:rPr>
          <w:bCs/>
        </w:rPr>
        <w:t xml:space="preserve">egulation 5 of the Work at Height Regulations 2005 requires that any person undertaking work at height should be competent to do so or, if being trained, supervised by a competent person. Competence is a combination of appropriate practical and theoretical knowledge, training and experience, which collectively should enable a person to: </w:t>
      </w:r>
    </w:p>
    <w:p w14:paraId="470EFD9B" w14:textId="5E8C90F3" w:rsidR="00C80B90" w:rsidRDefault="00C80B90" w:rsidP="0040681C">
      <w:pPr>
        <w:pStyle w:val="ListParagraph"/>
        <w:numPr>
          <w:ilvl w:val="0"/>
          <w:numId w:val="14"/>
        </w:numPr>
        <w:spacing w:after="240"/>
      </w:pPr>
      <w:r>
        <w:t xml:space="preserve">Undertake safely their specified activity at their level of </w:t>
      </w:r>
      <w:r w:rsidR="00056EC1">
        <w:t>responsibility.</w:t>
      </w:r>
      <w:r>
        <w:t xml:space="preserve"> </w:t>
      </w:r>
    </w:p>
    <w:p w14:paraId="7006C63A" w14:textId="244A5F78" w:rsidR="00C80B90" w:rsidRDefault="00C80B90" w:rsidP="0040681C">
      <w:pPr>
        <w:pStyle w:val="ListParagraph"/>
        <w:numPr>
          <w:ilvl w:val="0"/>
          <w:numId w:val="14"/>
        </w:numPr>
        <w:spacing w:after="240"/>
      </w:pPr>
      <w:r>
        <w:t xml:space="preserve">Understand fully any potential risks related to the work activity (tasks </w:t>
      </w:r>
      <w:r w:rsidR="00204094">
        <w:t>and equipment</w:t>
      </w:r>
      <w:r>
        <w:t xml:space="preserve">) in which they are engaged; and </w:t>
      </w:r>
    </w:p>
    <w:p w14:paraId="5BE7402D" w14:textId="457813C1" w:rsidR="00D10F37" w:rsidRPr="00D10F37" w:rsidRDefault="00C80B90" w:rsidP="0040681C">
      <w:pPr>
        <w:pStyle w:val="ListParagraph"/>
        <w:numPr>
          <w:ilvl w:val="0"/>
          <w:numId w:val="14"/>
        </w:numPr>
        <w:spacing w:after="240"/>
      </w:pPr>
      <w:r>
        <w:t xml:space="preserve">Detect any defects or omissions and recognise any implications for health   and safety with the aim of specifying appropriate remedial actions that may be required in relation to their </w:t>
      </w:r>
      <w:r w:rsidR="00DA70E3">
        <w:t>work</w:t>
      </w:r>
      <w:r>
        <w:t xml:space="preserve"> </w:t>
      </w:r>
      <w:r w:rsidR="009E3EC4">
        <w:t>activity.</w:t>
      </w:r>
      <w:r>
        <w:t xml:space="preserve"> </w:t>
      </w:r>
    </w:p>
    <w:p w14:paraId="2FDF1C80" w14:textId="3C47C5E7" w:rsidR="007B6836" w:rsidRPr="00161727" w:rsidRDefault="00C80B90" w:rsidP="0040681C">
      <w:pPr>
        <w:pStyle w:val="ListParagraph"/>
        <w:numPr>
          <w:ilvl w:val="0"/>
          <w:numId w:val="14"/>
        </w:numPr>
        <w:spacing w:after="240"/>
      </w:pPr>
      <w:r w:rsidRPr="00C80B90">
        <w:t>This could include refusing to do a particular task if the potential risk is assessed as being too great, pending reassessment or a risk reduction strategy.</w:t>
      </w:r>
    </w:p>
    <w:p w14:paraId="601A3E4A" w14:textId="77777777" w:rsidR="00161727" w:rsidRDefault="00B03BD3" w:rsidP="00D47E50">
      <w:pPr>
        <w:keepNext/>
        <w:numPr>
          <w:ilvl w:val="0"/>
          <w:numId w:val="2"/>
        </w:numPr>
        <w:tabs>
          <w:tab w:val="clear" w:pos="1162"/>
          <w:tab w:val="left" w:pos="709"/>
        </w:tabs>
        <w:spacing w:before="360" w:after="240"/>
        <w:outlineLvl w:val="0"/>
        <w:rPr>
          <w:rFonts w:cs="Arial"/>
          <w:b/>
          <w:bCs/>
          <w:sz w:val="28"/>
          <w:szCs w:val="28"/>
        </w:rPr>
      </w:pPr>
      <w:bookmarkStart w:id="17" w:name="_Toc528242083"/>
      <w:bookmarkStart w:id="18" w:name="_Toc219109708"/>
      <w:r w:rsidRPr="00F23FAB">
        <w:rPr>
          <w:rFonts w:cs="Arial"/>
          <w:b/>
          <w:bCs/>
          <w:sz w:val="28"/>
          <w:szCs w:val="28"/>
        </w:rPr>
        <w:t xml:space="preserve">Monitoring </w:t>
      </w:r>
      <w:bookmarkEnd w:id="17"/>
      <w:r w:rsidR="00D32657">
        <w:rPr>
          <w:rFonts w:cs="Arial"/>
          <w:b/>
          <w:bCs/>
          <w:sz w:val="28"/>
          <w:szCs w:val="28"/>
        </w:rPr>
        <w:t>Compliance</w:t>
      </w:r>
      <w:bookmarkEnd w:id="18"/>
    </w:p>
    <w:p w14:paraId="0CE3AB45" w14:textId="563F93E9" w:rsidR="00412D32" w:rsidRPr="00B8715F" w:rsidRDefault="00FE2784" w:rsidP="0040681C">
      <w:pPr>
        <w:numPr>
          <w:ilvl w:val="1"/>
          <w:numId w:val="2"/>
        </w:numPr>
        <w:tabs>
          <w:tab w:val="left" w:pos="1162"/>
        </w:tabs>
        <w:spacing w:after="240"/>
        <w:rPr>
          <w:b/>
        </w:rPr>
      </w:pPr>
      <w:r w:rsidRPr="00B8715F">
        <w:rPr>
          <w:b/>
        </w:rPr>
        <w:t xml:space="preserve">Health and Safety </w:t>
      </w:r>
    </w:p>
    <w:p w14:paraId="382FD2C5" w14:textId="4707548F" w:rsidR="007B6836" w:rsidRDefault="00482000" w:rsidP="00161727">
      <w:pPr>
        <w:spacing w:after="240"/>
        <w:ind w:left="709"/>
        <w:rPr>
          <w:rFonts w:cs="Arial"/>
        </w:rPr>
      </w:pPr>
      <w:r w:rsidRPr="00482000">
        <w:rPr>
          <w:rFonts w:cs="Arial"/>
        </w:rPr>
        <w:t xml:space="preserve">The </w:t>
      </w:r>
      <w:r>
        <w:rPr>
          <w:rFonts w:cs="Arial"/>
        </w:rPr>
        <w:t xml:space="preserve">Health and Safety department will </w:t>
      </w:r>
      <w:r w:rsidR="00C824D3">
        <w:rPr>
          <w:rFonts w:cs="Arial"/>
        </w:rPr>
        <w:t xml:space="preserve">follow </w:t>
      </w:r>
      <w:r w:rsidR="00C824D3">
        <w:t>up any related incidents and make appropriate recommendations; c</w:t>
      </w:r>
      <w:r>
        <w:rPr>
          <w:rFonts w:cs="Arial"/>
        </w:rPr>
        <w:t>arry out audit</w:t>
      </w:r>
      <w:r w:rsidR="00704CAD">
        <w:rPr>
          <w:rFonts w:cs="Arial"/>
        </w:rPr>
        <w:t>s</w:t>
      </w:r>
      <w:r>
        <w:rPr>
          <w:rFonts w:cs="Arial"/>
        </w:rPr>
        <w:t xml:space="preserve"> of PPM records </w:t>
      </w:r>
      <w:r w:rsidR="00704CAD">
        <w:rPr>
          <w:rFonts w:cs="Arial"/>
        </w:rPr>
        <w:t>for both regulatory and Trust compliance as well as auditing equipment risk assessments</w:t>
      </w:r>
      <w:r w:rsidR="008A35DD">
        <w:rPr>
          <w:rFonts w:cs="Arial"/>
        </w:rPr>
        <w:t>.</w:t>
      </w:r>
      <w:r w:rsidR="00D10F37">
        <w:rPr>
          <w:rFonts w:cs="Arial"/>
        </w:rPr>
        <w:t xml:space="preserve"> </w:t>
      </w:r>
      <w:r w:rsidR="00C824D3">
        <w:rPr>
          <w:rFonts w:cs="Arial"/>
        </w:rPr>
        <w:t xml:space="preserve">Any </w:t>
      </w:r>
      <w:r w:rsidR="00C824D3">
        <w:t>Working at heights issues arising from health and safety audits and inspections will be highlighted to the relevant manager.</w:t>
      </w:r>
    </w:p>
    <w:p w14:paraId="1BF0721C" w14:textId="219EB152" w:rsidR="00412D32" w:rsidRPr="00B8715F" w:rsidRDefault="00482000" w:rsidP="0040681C">
      <w:pPr>
        <w:numPr>
          <w:ilvl w:val="1"/>
          <w:numId w:val="2"/>
        </w:numPr>
        <w:tabs>
          <w:tab w:val="left" w:pos="1162"/>
        </w:tabs>
        <w:spacing w:after="240"/>
        <w:rPr>
          <w:b/>
        </w:rPr>
      </w:pPr>
      <w:r w:rsidRPr="00B8715F">
        <w:rPr>
          <w:b/>
        </w:rPr>
        <w:t>Non compliance</w:t>
      </w:r>
    </w:p>
    <w:p w14:paraId="0F0BD7A4" w14:textId="19772A25" w:rsidR="00C56680" w:rsidRDefault="00482000" w:rsidP="00161727">
      <w:pPr>
        <w:spacing w:after="240"/>
        <w:ind w:left="709"/>
        <w:rPr>
          <w:rFonts w:cs="Arial"/>
        </w:rPr>
      </w:pPr>
      <w:r>
        <w:rPr>
          <w:rFonts w:cs="Arial"/>
        </w:rPr>
        <w:t xml:space="preserve">Instances of non-compliance will be escalated to HSWG. </w:t>
      </w:r>
    </w:p>
    <w:p w14:paraId="63D2E51A" w14:textId="77777777" w:rsidR="00161727" w:rsidRDefault="00B03BD3" w:rsidP="00161727">
      <w:pPr>
        <w:numPr>
          <w:ilvl w:val="0"/>
          <w:numId w:val="2"/>
        </w:numPr>
        <w:tabs>
          <w:tab w:val="clear" w:pos="1162"/>
          <w:tab w:val="left" w:pos="709"/>
        </w:tabs>
        <w:spacing w:before="360" w:after="240"/>
        <w:outlineLvl w:val="0"/>
        <w:rPr>
          <w:rFonts w:cs="Arial"/>
          <w:b/>
          <w:bCs/>
          <w:sz w:val="28"/>
          <w:szCs w:val="28"/>
        </w:rPr>
      </w:pPr>
      <w:bookmarkStart w:id="19" w:name="_Toc210802636"/>
      <w:bookmarkStart w:id="20" w:name="_Toc528242084"/>
      <w:bookmarkStart w:id="21" w:name="_Toc219109709"/>
      <w:r w:rsidRPr="00F23FAB">
        <w:rPr>
          <w:rFonts w:cs="Arial"/>
          <w:b/>
          <w:bCs/>
          <w:sz w:val="28"/>
          <w:szCs w:val="28"/>
        </w:rPr>
        <w:t>Audit and Review</w:t>
      </w:r>
      <w:bookmarkEnd w:id="19"/>
      <w:bookmarkEnd w:id="20"/>
      <w:bookmarkEnd w:id="21"/>
      <w:r w:rsidR="00412D32">
        <w:rPr>
          <w:rFonts w:cs="Arial"/>
          <w:b/>
          <w:bCs/>
          <w:sz w:val="28"/>
          <w:szCs w:val="28"/>
        </w:rPr>
        <w:t xml:space="preserve"> </w:t>
      </w:r>
    </w:p>
    <w:p w14:paraId="44666588" w14:textId="0B987DD9" w:rsidR="0040681C" w:rsidRDefault="00482000" w:rsidP="0040681C">
      <w:pPr>
        <w:numPr>
          <w:ilvl w:val="1"/>
          <w:numId w:val="2"/>
        </w:numPr>
        <w:tabs>
          <w:tab w:val="left" w:pos="1162"/>
        </w:tabs>
        <w:spacing w:after="240"/>
        <w:rPr>
          <w:bCs/>
        </w:rPr>
      </w:pPr>
      <w:r w:rsidRPr="0040681C">
        <w:rPr>
          <w:bCs/>
        </w:rPr>
        <w:t xml:space="preserve">This document will </w:t>
      </w:r>
      <w:r w:rsidR="00767438" w:rsidRPr="0040681C">
        <w:rPr>
          <w:bCs/>
        </w:rPr>
        <w:t>be subject to audit</w:t>
      </w:r>
      <w:r w:rsidRPr="0040681C">
        <w:rPr>
          <w:bCs/>
        </w:rPr>
        <w:t xml:space="preserve"> by the HSWG 6 months after approval</w:t>
      </w:r>
      <w:r w:rsidR="00161727" w:rsidRPr="0040681C">
        <w:rPr>
          <w:bCs/>
        </w:rPr>
        <w:t xml:space="preserve"> </w:t>
      </w:r>
      <w:r w:rsidRPr="0040681C">
        <w:rPr>
          <w:bCs/>
        </w:rPr>
        <w:t>and thereafter no later than three yearly.</w:t>
      </w:r>
    </w:p>
    <w:p w14:paraId="40E09D9B" w14:textId="77777777" w:rsidR="0040681C" w:rsidRDefault="00A021B8" w:rsidP="0040681C">
      <w:pPr>
        <w:numPr>
          <w:ilvl w:val="1"/>
          <w:numId w:val="2"/>
        </w:numPr>
        <w:tabs>
          <w:tab w:val="left" w:pos="1162"/>
        </w:tabs>
        <w:spacing w:after="240"/>
        <w:rPr>
          <w:bCs/>
        </w:rPr>
      </w:pPr>
      <w:r w:rsidRPr="00D47E50">
        <w:t>Effectiveness will be reviewed using the tools set out in the Trust’s Policy and Procedure for the Development and Management of Trust Policies and Procedures (also known as the Policy on Policies).</w:t>
      </w:r>
    </w:p>
    <w:p w14:paraId="09C4D51B" w14:textId="77777777" w:rsidR="0040681C" w:rsidRDefault="00C56680" w:rsidP="0040681C">
      <w:pPr>
        <w:numPr>
          <w:ilvl w:val="1"/>
          <w:numId w:val="2"/>
        </w:numPr>
        <w:tabs>
          <w:tab w:val="left" w:pos="1162"/>
        </w:tabs>
        <w:spacing w:after="240"/>
        <w:rPr>
          <w:bCs/>
        </w:rPr>
      </w:pPr>
      <w:r w:rsidRPr="0040681C">
        <w:rPr>
          <w:rFonts w:cs="Arial"/>
        </w:rPr>
        <w:t>This</w:t>
      </w:r>
      <w:r w:rsidR="00B03BD3" w:rsidRPr="0040681C">
        <w:rPr>
          <w:rFonts w:cs="Arial"/>
        </w:rPr>
        <w:t xml:space="preserve"> document will be reviewed </w:t>
      </w:r>
      <w:r w:rsidR="00A021B8" w:rsidRPr="0040681C">
        <w:rPr>
          <w:rFonts w:cs="Arial"/>
        </w:rPr>
        <w:t xml:space="preserve">in its entirety </w:t>
      </w:r>
      <w:r w:rsidR="00B03BD3" w:rsidRPr="0040681C">
        <w:rPr>
          <w:rFonts w:cs="Arial"/>
        </w:rPr>
        <w:t>every three years or sooner if new legislation, codes of practice or na</w:t>
      </w:r>
      <w:r w:rsidR="00412D32" w:rsidRPr="0040681C">
        <w:rPr>
          <w:rFonts w:cs="Arial"/>
        </w:rPr>
        <w:t>tional standards are introduced, or if feedback from employees indicates that the policy is not working effectively.</w:t>
      </w:r>
    </w:p>
    <w:p w14:paraId="4063E961" w14:textId="1DC0D555" w:rsidR="00D47E50" w:rsidRPr="00D33B5A" w:rsidRDefault="00A021B8" w:rsidP="0040681C">
      <w:pPr>
        <w:numPr>
          <w:ilvl w:val="1"/>
          <w:numId w:val="2"/>
        </w:numPr>
        <w:tabs>
          <w:tab w:val="left" w:pos="1162"/>
        </w:tabs>
        <w:spacing w:after="240"/>
        <w:rPr>
          <w:bCs/>
        </w:rPr>
      </w:pPr>
      <w:r w:rsidRPr="00D47E50">
        <w:t>All changes made to this policy will go through the governance route for development and approval as set out in the</w:t>
      </w:r>
      <w:r w:rsidR="005F72FB" w:rsidRPr="00D47E50">
        <w:t xml:space="preserve"> Policy on Policies</w:t>
      </w:r>
      <w:r w:rsidRPr="00D47E50">
        <w:t>.</w:t>
      </w:r>
    </w:p>
    <w:p w14:paraId="19A8CCC2" w14:textId="77777777" w:rsidR="00D33B5A" w:rsidRDefault="00D33B5A" w:rsidP="00D33B5A">
      <w:pPr>
        <w:numPr>
          <w:ilvl w:val="0"/>
          <w:numId w:val="2"/>
        </w:numPr>
        <w:tabs>
          <w:tab w:val="left" w:pos="1162"/>
        </w:tabs>
        <w:spacing w:before="360" w:after="240"/>
        <w:outlineLvl w:val="0"/>
        <w:rPr>
          <w:rFonts w:cs="Arial"/>
          <w:b/>
          <w:bCs/>
          <w:sz w:val="28"/>
          <w:szCs w:val="28"/>
        </w:rPr>
      </w:pPr>
      <w:bookmarkStart w:id="22" w:name="_Toc196483178"/>
      <w:bookmarkStart w:id="23" w:name="_Toc219109710"/>
      <w:r>
        <w:rPr>
          <w:rFonts w:cs="Arial"/>
          <w:b/>
          <w:bCs/>
          <w:sz w:val="28"/>
          <w:szCs w:val="28"/>
        </w:rPr>
        <w:t>Financial Checkpoint</w:t>
      </w:r>
      <w:bookmarkEnd w:id="22"/>
      <w:bookmarkEnd w:id="23"/>
    </w:p>
    <w:p w14:paraId="68DED5CA" w14:textId="71387E8D" w:rsidR="00D33B5A" w:rsidRPr="009A14DD" w:rsidRDefault="00D33B5A" w:rsidP="00D33B5A">
      <w:pPr>
        <w:numPr>
          <w:ilvl w:val="1"/>
          <w:numId w:val="17"/>
        </w:numPr>
        <w:tabs>
          <w:tab w:val="left" w:pos="1162"/>
        </w:tabs>
        <w:spacing w:after="240"/>
        <w:rPr>
          <w:rFonts w:cs="Arial"/>
        </w:rPr>
      </w:pPr>
      <w:r w:rsidRPr="00BC5EA4">
        <w:rPr>
          <w:rFonts w:cs="Arial"/>
        </w:rPr>
        <w:t>Finance has confirmed this document to have financial implications and the relevant Trust processes have been followed to ensure adequate funds are available.</w:t>
      </w:r>
    </w:p>
    <w:p w14:paraId="0159A1B3" w14:textId="641744C2" w:rsidR="007F0F1E" w:rsidRPr="00161727" w:rsidRDefault="007F0F1E" w:rsidP="00161727">
      <w:pPr>
        <w:numPr>
          <w:ilvl w:val="0"/>
          <w:numId w:val="2"/>
        </w:numPr>
        <w:tabs>
          <w:tab w:val="clear" w:pos="1162"/>
          <w:tab w:val="left" w:pos="709"/>
        </w:tabs>
        <w:spacing w:before="360" w:after="240"/>
        <w:outlineLvl w:val="0"/>
        <w:rPr>
          <w:rFonts w:cs="Arial"/>
          <w:b/>
          <w:bCs/>
          <w:sz w:val="28"/>
          <w:szCs w:val="28"/>
        </w:rPr>
      </w:pPr>
      <w:r w:rsidRPr="00161727">
        <w:rPr>
          <w:rFonts w:cs="Arial"/>
          <w:b/>
          <w:bCs/>
          <w:sz w:val="28"/>
          <w:szCs w:val="28"/>
        </w:rPr>
        <w:t xml:space="preserve">     </w:t>
      </w:r>
      <w:bookmarkStart w:id="24" w:name="_Toc219109711"/>
      <w:r w:rsidRPr="00161727">
        <w:rPr>
          <w:rFonts w:cs="Arial"/>
          <w:b/>
          <w:bCs/>
          <w:sz w:val="28"/>
          <w:szCs w:val="28"/>
        </w:rPr>
        <w:t>Associated Trust Documentation</w:t>
      </w:r>
      <w:bookmarkEnd w:id="24"/>
    </w:p>
    <w:p w14:paraId="35C0413F" w14:textId="77777777" w:rsidR="007F0F1E" w:rsidRPr="007B6836" w:rsidRDefault="007F0F1E" w:rsidP="0040681C">
      <w:pPr>
        <w:pStyle w:val="ListParagraph"/>
        <w:numPr>
          <w:ilvl w:val="0"/>
          <w:numId w:val="16"/>
        </w:numPr>
        <w:tabs>
          <w:tab w:val="left" w:pos="1162"/>
        </w:tabs>
        <w:spacing w:after="240"/>
        <w:jc w:val="both"/>
      </w:pPr>
      <w:r w:rsidRPr="007B6836">
        <w:t>Health and Safety Policy</w:t>
      </w:r>
    </w:p>
    <w:p w14:paraId="2B93CD94" w14:textId="77777777" w:rsidR="007F0F1E" w:rsidRPr="007B6836" w:rsidRDefault="007F0F1E" w:rsidP="007B6836">
      <w:pPr>
        <w:pStyle w:val="ListParagraph"/>
        <w:tabs>
          <w:tab w:val="left" w:pos="1162"/>
        </w:tabs>
        <w:spacing w:after="240"/>
        <w:ind w:left="709"/>
        <w:jc w:val="both"/>
      </w:pPr>
    </w:p>
    <w:p w14:paraId="0194013A" w14:textId="3962F4B9" w:rsidR="007F0F1E" w:rsidRPr="007B6836" w:rsidRDefault="007F0F1E" w:rsidP="0040681C">
      <w:pPr>
        <w:pStyle w:val="ListParagraph"/>
        <w:numPr>
          <w:ilvl w:val="0"/>
          <w:numId w:val="16"/>
        </w:numPr>
        <w:tabs>
          <w:tab w:val="left" w:pos="1162"/>
        </w:tabs>
        <w:spacing w:after="240"/>
        <w:jc w:val="both"/>
      </w:pPr>
      <w:r w:rsidRPr="007B6836">
        <w:t>Workplace Inspection Procedure</w:t>
      </w:r>
    </w:p>
    <w:p w14:paraId="245338FF" w14:textId="77777777" w:rsidR="007F0F1E" w:rsidRPr="007B6836" w:rsidRDefault="007F0F1E" w:rsidP="007B6836">
      <w:pPr>
        <w:pStyle w:val="ListParagraph"/>
        <w:tabs>
          <w:tab w:val="left" w:pos="1162"/>
        </w:tabs>
        <w:spacing w:after="240"/>
        <w:ind w:left="709"/>
        <w:jc w:val="both"/>
      </w:pPr>
    </w:p>
    <w:p w14:paraId="73C51532" w14:textId="3925FE27" w:rsidR="007F0F1E" w:rsidRPr="007B6836" w:rsidRDefault="007F0F1E" w:rsidP="0040681C">
      <w:pPr>
        <w:pStyle w:val="ListParagraph"/>
        <w:numPr>
          <w:ilvl w:val="0"/>
          <w:numId w:val="16"/>
        </w:numPr>
        <w:tabs>
          <w:tab w:val="left" w:pos="1162"/>
        </w:tabs>
        <w:spacing w:after="240"/>
        <w:jc w:val="both"/>
      </w:pPr>
      <w:r w:rsidRPr="007B6836">
        <w:t>PUWER Policy</w:t>
      </w:r>
    </w:p>
    <w:p w14:paraId="6ED17412" w14:textId="77777777" w:rsidR="007F0F1E" w:rsidRPr="007B6836" w:rsidRDefault="007F0F1E" w:rsidP="007B6836">
      <w:pPr>
        <w:pStyle w:val="ListParagraph"/>
        <w:tabs>
          <w:tab w:val="left" w:pos="1162"/>
        </w:tabs>
        <w:spacing w:after="240"/>
        <w:ind w:left="709"/>
        <w:jc w:val="both"/>
      </w:pPr>
    </w:p>
    <w:p w14:paraId="155A50B7" w14:textId="6699BAEA" w:rsidR="00F269CA" w:rsidRDefault="007F0F1E" w:rsidP="0040681C">
      <w:pPr>
        <w:pStyle w:val="ListParagraph"/>
        <w:numPr>
          <w:ilvl w:val="0"/>
          <w:numId w:val="16"/>
        </w:numPr>
        <w:tabs>
          <w:tab w:val="left" w:pos="1162"/>
        </w:tabs>
        <w:spacing w:after="240"/>
        <w:jc w:val="both"/>
      </w:pPr>
      <w:r w:rsidRPr="007B6836">
        <w:t>Risk Management Policy</w:t>
      </w:r>
      <w:r w:rsidR="006C0BA0">
        <w:t xml:space="preserve"> and Procedure</w:t>
      </w:r>
    </w:p>
    <w:p w14:paraId="06CB9D0C" w14:textId="77777777" w:rsidR="00182053" w:rsidRDefault="00182053" w:rsidP="00182053">
      <w:pPr>
        <w:pStyle w:val="ListParagraph"/>
      </w:pPr>
    </w:p>
    <w:p w14:paraId="468566F5" w14:textId="43319DB1" w:rsidR="00182053" w:rsidRPr="00161727" w:rsidRDefault="00182053" w:rsidP="0040681C">
      <w:pPr>
        <w:pStyle w:val="ListParagraph"/>
        <w:numPr>
          <w:ilvl w:val="0"/>
          <w:numId w:val="16"/>
        </w:numPr>
        <w:tabs>
          <w:tab w:val="left" w:pos="1162"/>
        </w:tabs>
        <w:spacing w:after="240"/>
        <w:jc w:val="both"/>
      </w:pPr>
      <w:r>
        <w:t>Health and Safety Risk Assessment procedure</w:t>
      </w:r>
    </w:p>
    <w:p w14:paraId="219D5CCD" w14:textId="77777777" w:rsidR="00B93D2B" w:rsidRPr="00AD5383" w:rsidRDefault="00B93D2B" w:rsidP="00161727">
      <w:pPr>
        <w:numPr>
          <w:ilvl w:val="0"/>
          <w:numId w:val="2"/>
        </w:numPr>
        <w:tabs>
          <w:tab w:val="clear" w:pos="1162"/>
          <w:tab w:val="left" w:pos="709"/>
        </w:tabs>
        <w:spacing w:before="360" w:after="240"/>
        <w:outlineLvl w:val="0"/>
        <w:rPr>
          <w:rFonts w:cs="Arial"/>
          <w:b/>
          <w:bCs/>
          <w:sz w:val="28"/>
          <w:szCs w:val="28"/>
        </w:rPr>
      </w:pPr>
      <w:bookmarkStart w:id="25" w:name="_Toc219109712"/>
      <w:r>
        <w:rPr>
          <w:rFonts w:cs="Arial"/>
          <w:b/>
          <w:bCs/>
          <w:sz w:val="28"/>
          <w:szCs w:val="28"/>
        </w:rPr>
        <w:t>References</w:t>
      </w:r>
      <w:bookmarkEnd w:id="25"/>
    </w:p>
    <w:p w14:paraId="2CFDEAD5" w14:textId="77777777" w:rsidR="00B93D2B" w:rsidRDefault="00B93D2B" w:rsidP="0040681C">
      <w:pPr>
        <w:pStyle w:val="ListParagraph"/>
        <w:numPr>
          <w:ilvl w:val="0"/>
          <w:numId w:val="16"/>
        </w:numPr>
        <w:tabs>
          <w:tab w:val="left" w:pos="1162"/>
        </w:tabs>
        <w:spacing w:after="240"/>
        <w:jc w:val="both"/>
      </w:pPr>
      <w:r>
        <w:t>Health and Safety at Work Act 1974</w:t>
      </w:r>
    </w:p>
    <w:p w14:paraId="2426B65C" w14:textId="77777777" w:rsidR="00B93D2B" w:rsidRDefault="00B93D2B" w:rsidP="0040681C">
      <w:pPr>
        <w:pStyle w:val="ListParagraph"/>
        <w:numPr>
          <w:ilvl w:val="0"/>
          <w:numId w:val="16"/>
        </w:numPr>
        <w:tabs>
          <w:tab w:val="left" w:pos="1162"/>
        </w:tabs>
        <w:spacing w:after="240"/>
        <w:jc w:val="both"/>
      </w:pPr>
      <w:r>
        <w:t xml:space="preserve">The Workplace (Health, Safety and Welfare) Regulations 1992 </w:t>
      </w:r>
    </w:p>
    <w:p w14:paraId="2D2CA8FA" w14:textId="77777777" w:rsidR="00B93D2B" w:rsidRDefault="00B93D2B" w:rsidP="0040681C">
      <w:pPr>
        <w:pStyle w:val="ListParagraph"/>
        <w:numPr>
          <w:ilvl w:val="0"/>
          <w:numId w:val="16"/>
        </w:numPr>
        <w:tabs>
          <w:tab w:val="left" w:pos="1162"/>
        </w:tabs>
        <w:spacing w:after="240"/>
        <w:jc w:val="both"/>
      </w:pPr>
      <w:r>
        <w:t xml:space="preserve">The Construction (Health, Safety and Welfare) Regulations 1996 </w:t>
      </w:r>
    </w:p>
    <w:p w14:paraId="4C36D430" w14:textId="77777777" w:rsidR="00B93D2B" w:rsidRDefault="00B93D2B" w:rsidP="0040681C">
      <w:pPr>
        <w:pStyle w:val="ListParagraph"/>
        <w:numPr>
          <w:ilvl w:val="0"/>
          <w:numId w:val="16"/>
        </w:numPr>
        <w:tabs>
          <w:tab w:val="left" w:pos="1162"/>
        </w:tabs>
        <w:spacing w:after="240"/>
        <w:jc w:val="both"/>
      </w:pPr>
      <w:r w:rsidRPr="00B93D2B">
        <w:t xml:space="preserve">The Provision and Safe Use of Work Equipment Regulations - 1998 </w:t>
      </w:r>
    </w:p>
    <w:p w14:paraId="5CA6E72A" w14:textId="77777777" w:rsidR="00B93D2B" w:rsidRDefault="00B93D2B" w:rsidP="0040681C">
      <w:pPr>
        <w:pStyle w:val="ListParagraph"/>
        <w:numPr>
          <w:ilvl w:val="0"/>
          <w:numId w:val="16"/>
        </w:numPr>
        <w:tabs>
          <w:tab w:val="left" w:pos="1162"/>
        </w:tabs>
        <w:spacing w:after="240"/>
        <w:jc w:val="both"/>
      </w:pPr>
      <w:r w:rsidRPr="00B93D2B">
        <w:t>The Provision and Safe Use of Work Equipment Approved Code of Practice (HSE) 2014</w:t>
      </w:r>
    </w:p>
    <w:p w14:paraId="49B650CF" w14:textId="77777777" w:rsidR="00B93D2B" w:rsidRPr="00B93D2B" w:rsidRDefault="00B93D2B" w:rsidP="0040681C">
      <w:pPr>
        <w:pStyle w:val="ListParagraph"/>
        <w:numPr>
          <w:ilvl w:val="0"/>
          <w:numId w:val="16"/>
        </w:numPr>
        <w:tabs>
          <w:tab w:val="left" w:pos="1162"/>
        </w:tabs>
        <w:spacing w:after="240"/>
        <w:jc w:val="both"/>
      </w:pPr>
      <w:r w:rsidRPr="00B93D2B">
        <w:t xml:space="preserve">Safe Use of Lifting Equipment and Lifting Operations Regulations - 1998 </w:t>
      </w:r>
    </w:p>
    <w:p w14:paraId="629D9EB9" w14:textId="77777777" w:rsidR="00B93D2B" w:rsidRPr="00B93D2B" w:rsidRDefault="00B93D2B" w:rsidP="0040681C">
      <w:pPr>
        <w:pStyle w:val="ListParagraph"/>
        <w:numPr>
          <w:ilvl w:val="0"/>
          <w:numId w:val="16"/>
        </w:numPr>
        <w:tabs>
          <w:tab w:val="left" w:pos="1162"/>
        </w:tabs>
        <w:spacing w:after="240"/>
        <w:jc w:val="both"/>
      </w:pPr>
      <w:r w:rsidRPr="00B93D2B">
        <w:t xml:space="preserve">The Management of Health and Safety at Work Regulations - 1999 </w:t>
      </w:r>
    </w:p>
    <w:p w14:paraId="7D2D44E6" w14:textId="77777777" w:rsidR="00B93D2B" w:rsidRPr="00B93D2B" w:rsidRDefault="00B93D2B" w:rsidP="0040681C">
      <w:pPr>
        <w:pStyle w:val="ListParagraph"/>
        <w:numPr>
          <w:ilvl w:val="0"/>
          <w:numId w:val="16"/>
        </w:numPr>
        <w:tabs>
          <w:tab w:val="left" w:pos="1162"/>
        </w:tabs>
        <w:spacing w:after="240"/>
        <w:jc w:val="both"/>
      </w:pPr>
      <w:r w:rsidRPr="00B93D2B">
        <w:t>The Personal Protective Equipment at Work Regulations – 1992</w:t>
      </w:r>
    </w:p>
    <w:p w14:paraId="26D15548" w14:textId="0F5D45CB" w:rsidR="00425386" w:rsidRDefault="00B93D2B" w:rsidP="0040681C">
      <w:pPr>
        <w:pStyle w:val="ListParagraph"/>
        <w:numPr>
          <w:ilvl w:val="0"/>
          <w:numId w:val="16"/>
        </w:numPr>
        <w:tabs>
          <w:tab w:val="left" w:pos="1162"/>
        </w:tabs>
        <w:spacing w:after="240"/>
        <w:jc w:val="both"/>
      </w:pPr>
      <w:r w:rsidRPr="00B93D2B">
        <w:t>HSE Webpages providing practical advice and Guidance on the Working at Height regulations 2005</w:t>
      </w:r>
      <w:bookmarkEnd w:id="0"/>
    </w:p>
    <w:sectPr w:rsidR="00425386" w:rsidSect="0059190F">
      <w:headerReference w:type="even" r:id="rId11"/>
      <w:headerReference w:type="first" r:id="rId12"/>
      <w:pgSz w:w="11906" w:h="16838" w:code="9"/>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0A81" w14:textId="77777777" w:rsidR="00AB6F1E" w:rsidRDefault="00AB6F1E">
      <w:r>
        <w:separator/>
      </w:r>
    </w:p>
    <w:p w14:paraId="1AB7DCB2" w14:textId="77777777" w:rsidR="00AB6F1E" w:rsidRDefault="00AB6F1E"/>
    <w:p w14:paraId="1A9A465F" w14:textId="77777777" w:rsidR="00AB6F1E" w:rsidRDefault="00AB6F1E"/>
    <w:p w14:paraId="2B8A7CB6" w14:textId="77777777" w:rsidR="00AB6F1E" w:rsidRDefault="00AB6F1E"/>
    <w:p w14:paraId="7ADF0F8E" w14:textId="77777777" w:rsidR="00AB6F1E" w:rsidRDefault="00AB6F1E"/>
    <w:p w14:paraId="5A64B8B0" w14:textId="77777777" w:rsidR="00AB6F1E" w:rsidRDefault="00AB6F1E"/>
    <w:p w14:paraId="650E2CC0" w14:textId="77777777" w:rsidR="00AB6F1E" w:rsidRDefault="00AB6F1E"/>
    <w:p w14:paraId="6BD7A268" w14:textId="77777777" w:rsidR="00AB6F1E" w:rsidRDefault="00AB6F1E"/>
    <w:p w14:paraId="4A7E55C2" w14:textId="77777777" w:rsidR="00AB6F1E" w:rsidRDefault="00AB6F1E"/>
    <w:p w14:paraId="6BACD58E" w14:textId="77777777" w:rsidR="00AB6F1E" w:rsidRDefault="00AB6F1E"/>
    <w:p w14:paraId="60899FDF" w14:textId="77777777" w:rsidR="00AB6F1E" w:rsidRDefault="00AB6F1E"/>
    <w:p w14:paraId="1AC70E72" w14:textId="77777777" w:rsidR="00AB6F1E" w:rsidRDefault="00AB6F1E"/>
    <w:p w14:paraId="6181FC7C" w14:textId="77777777" w:rsidR="00AB6F1E" w:rsidRDefault="00AB6F1E"/>
    <w:p w14:paraId="52C00F6A" w14:textId="77777777" w:rsidR="00AB6F1E" w:rsidRDefault="00AB6F1E"/>
    <w:p w14:paraId="2D1C44B4" w14:textId="77777777" w:rsidR="00AB6F1E" w:rsidRDefault="00AB6F1E"/>
    <w:p w14:paraId="30847626" w14:textId="77777777" w:rsidR="00AB6F1E" w:rsidRDefault="00AB6F1E"/>
    <w:p w14:paraId="64B55197" w14:textId="77777777" w:rsidR="00AB6F1E" w:rsidRDefault="00AB6F1E"/>
    <w:p w14:paraId="1B07FA21" w14:textId="77777777" w:rsidR="00AB6F1E" w:rsidRDefault="00AB6F1E"/>
    <w:p w14:paraId="1C138986" w14:textId="77777777" w:rsidR="00AB6F1E" w:rsidRDefault="00AB6F1E"/>
    <w:p w14:paraId="348FA2BC" w14:textId="77777777" w:rsidR="00AB6F1E" w:rsidRDefault="00AB6F1E"/>
    <w:p w14:paraId="0562E3F6" w14:textId="77777777" w:rsidR="00AB6F1E" w:rsidRDefault="00AB6F1E"/>
    <w:p w14:paraId="3DD009CB" w14:textId="77777777" w:rsidR="00AB6F1E" w:rsidRDefault="00AB6F1E"/>
    <w:p w14:paraId="711477C7" w14:textId="77777777" w:rsidR="00AB6F1E" w:rsidRDefault="00AB6F1E"/>
    <w:p w14:paraId="3943EEA0" w14:textId="77777777" w:rsidR="00AB6F1E" w:rsidRDefault="00AB6F1E"/>
    <w:p w14:paraId="7E26482A" w14:textId="77777777" w:rsidR="00AB6F1E" w:rsidRDefault="00AB6F1E"/>
    <w:p w14:paraId="1DAB5D82" w14:textId="77777777" w:rsidR="00AB6F1E" w:rsidRDefault="00AB6F1E"/>
    <w:p w14:paraId="522F0D95" w14:textId="77777777" w:rsidR="00AB6F1E" w:rsidRDefault="00AB6F1E"/>
    <w:p w14:paraId="7228E04C" w14:textId="77777777" w:rsidR="00AB6F1E" w:rsidRDefault="00AB6F1E"/>
    <w:p w14:paraId="2531B547" w14:textId="77777777" w:rsidR="00AB6F1E" w:rsidRDefault="00AB6F1E"/>
    <w:p w14:paraId="7F042D65" w14:textId="77777777" w:rsidR="00AB6F1E" w:rsidRDefault="00AB6F1E"/>
    <w:p w14:paraId="5E4E7C44" w14:textId="77777777" w:rsidR="00AB6F1E" w:rsidRDefault="00AB6F1E"/>
    <w:p w14:paraId="04023138" w14:textId="77777777" w:rsidR="00AB6F1E" w:rsidRDefault="00AB6F1E"/>
    <w:p w14:paraId="6326F620" w14:textId="77777777" w:rsidR="00AB6F1E" w:rsidRDefault="00AB6F1E"/>
    <w:p w14:paraId="68BD2016" w14:textId="77777777" w:rsidR="00AB6F1E" w:rsidRDefault="00AB6F1E"/>
    <w:p w14:paraId="3A84CC80" w14:textId="77777777" w:rsidR="00AB6F1E" w:rsidRDefault="00AB6F1E"/>
    <w:p w14:paraId="13A6228B" w14:textId="77777777" w:rsidR="00AB6F1E" w:rsidRDefault="00AB6F1E"/>
    <w:p w14:paraId="6787F261" w14:textId="77777777" w:rsidR="00AB6F1E" w:rsidRDefault="00AB6F1E"/>
    <w:p w14:paraId="656A62CE" w14:textId="77777777" w:rsidR="00AB6F1E" w:rsidRDefault="00AB6F1E"/>
    <w:p w14:paraId="3D5D646F" w14:textId="77777777" w:rsidR="00AB6F1E" w:rsidRDefault="00AB6F1E"/>
    <w:p w14:paraId="42E2C9DF" w14:textId="77777777" w:rsidR="00AB6F1E" w:rsidRDefault="00AB6F1E"/>
  </w:endnote>
  <w:endnote w:type="continuationSeparator" w:id="0">
    <w:p w14:paraId="3FD44109" w14:textId="77777777" w:rsidR="00AB6F1E" w:rsidRDefault="00AB6F1E">
      <w:r>
        <w:continuationSeparator/>
      </w:r>
    </w:p>
    <w:p w14:paraId="4CCFCB63" w14:textId="77777777" w:rsidR="00AB6F1E" w:rsidRDefault="00AB6F1E"/>
    <w:p w14:paraId="5ABA7BFD" w14:textId="77777777" w:rsidR="00AB6F1E" w:rsidRDefault="00AB6F1E"/>
    <w:p w14:paraId="3F338FBF" w14:textId="77777777" w:rsidR="00AB6F1E" w:rsidRDefault="00AB6F1E"/>
    <w:p w14:paraId="381E6F60" w14:textId="77777777" w:rsidR="00AB6F1E" w:rsidRDefault="00AB6F1E"/>
    <w:p w14:paraId="02A37951" w14:textId="77777777" w:rsidR="00AB6F1E" w:rsidRDefault="00AB6F1E"/>
    <w:p w14:paraId="5471B7D2" w14:textId="77777777" w:rsidR="00AB6F1E" w:rsidRDefault="00AB6F1E"/>
    <w:p w14:paraId="29A5D141" w14:textId="77777777" w:rsidR="00AB6F1E" w:rsidRDefault="00AB6F1E"/>
    <w:p w14:paraId="59596C8D" w14:textId="77777777" w:rsidR="00AB6F1E" w:rsidRDefault="00AB6F1E"/>
    <w:p w14:paraId="56A63111" w14:textId="77777777" w:rsidR="00AB6F1E" w:rsidRDefault="00AB6F1E"/>
    <w:p w14:paraId="40B53CD5" w14:textId="77777777" w:rsidR="00AB6F1E" w:rsidRDefault="00AB6F1E"/>
    <w:p w14:paraId="03EB8130" w14:textId="77777777" w:rsidR="00AB6F1E" w:rsidRDefault="00AB6F1E"/>
    <w:p w14:paraId="7CC7BEB0" w14:textId="77777777" w:rsidR="00AB6F1E" w:rsidRDefault="00AB6F1E"/>
    <w:p w14:paraId="15EB653E" w14:textId="77777777" w:rsidR="00AB6F1E" w:rsidRDefault="00AB6F1E"/>
    <w:p w14:paraId="0297C662" w14:textId="77777777" w:rsidR="00AB6F1E" w:rsidRDefault="00AB6F1E"/>
    <w:p w14:paraId="13A23C53" w14:textId="77777777" w:rsidR="00AB6F1E" w:rsidRDefault="00AB6F1E"/>
    <w:p w14:paraId="51F101C3" w14:textId="77777777" w:rsidR="00AB6F1E" w:rsidRDefault="00AB6F1E"/>
    <w:p w14:paraId="25DD7CDE" w14:textId="77777777" w:rsidR="00AB6F1E" w:rsidRDefault="00AB6F1E"/>
    <w:p w14:paraId="3D0C211F" w14:textId="77777777" w:rsidR="00AB6F1E" w:rsidRDefault="00AB6F1E"/>
    <w:p w14:paraId="155F7F40" w14:textId="77777777" w:rsidR="00AB6F1E" w:rsidRDefault="00AB6F1E"/>
    <w:p w14:paraId="0BA17DB0" w14:textId="77777777" w:rsidR="00AB6F1E" w:rsidRDefault="00AB6F1E"/>
    <w:p w14:paraId="4D5F8EB2" w14:textId="77777777" w:rsidR="00AB6F1E" w:rsidRDefault="00AB6F1E"/>
    <w:p w14:paraId="65F2209F" w14:textId="77777777" w:rsidR="00AB6F1E" w:rsidRDefault="00AB6F1E"/>
    <w:p w14:paraId="14DA6B6D" w14:textId="77777777" w:rsidR="00AB6F1E" w:rsidRDefault="00AB6F1E"/>
    <w:p w14:paraId="1A57EB26" w14:textId="77777777" w:rsidR="00AB6F1E" w:rsidRDefault="00AB6F1E"/>
    <w:p w14:paraId="39E4CD46" w14:textId="77777777" w:rsidR="00AB6F1E" w:rsidRDefault="00AB6F1E"/>
    <w:p w14:paraId="19A3C050" w14:textId="77777777" w:rsidR="00AB6F1E" w:rsidRDefault="00AB6F1E"/>
    <w:p w14:paraId="3A157449" w14:textId="77777777" w:rsidR="00AB6F1E" w:rsidRDefault="00AB6F1E"/>
    <w:p w14:paraId="641AE956" w14:textId="77777777" w:rsidR="00AB6F1E" w:rsidRDefault="00AB6F1E"/>
    <w:p w14:paraId="777679C1" w14:textId="77777777" w:rsidR="00AB6F1E" w:rsidRDefault="00AB6F1E"/>
    <w:p w14:paraId="1729E870" w14:textId="77777777" w:rsidR="00AB6F1E" w:rsidRDefault="00AB6F1E"/>
    <w:p w14:paraId="3DC6C5F6" w14:textId="77777777" w:rsidR="00AB6F1E" w:rsidRDefault="00AB6F1E"/>
    <w:p w14:paraId="0DA54DD4" w14:textId="77777777" w:rsidR="00AB6F1E" w:rsidRDefault="00AB6F1E"/>
    <w:p w14:paraId="19A7813B" w14:textId="77777777" w:rsidR="00AB6F1E" w:rsidRDefault="00AB6F1E"/>
    <w:p w14:paraId="4A156549" w14:textId="77777777" w:rsidR="00AB6F1E" w:rsidRDefault="00AB6F1E"/>
    <w:p w14:paraId="31DB8BD8" w14:textId="77777777" w:rsidR="00AB6F1E" w:rsidRDefault="00AB6F1E"/>
    <w:p w14:paraId="4E90ADA4" w14:textId="77777777" w:rsidR="00AB6F1E" w:rsidRDefault="00AB6F1E"/>
    <w:p w14:paraId="1F62540E" w14:textId="77777777" w:rsidR="00AB6F1E" w:rsidRDefault="00AB6F1E"/>
    <w:p w14:paraId="1A3F7102" w14:textId="77777777" w:rsidR="00AB6F1E" w:rsidRDefault="00AB6F1E"/>
    <w:p w14:paraId="0EDF1DFD" w14:textId="77777777" w:rsidR="00AB6F1E" w:rsidRDefault="00AB6F1E"/>
  </w:endnote>
  <w:endnote w:type="continuationNotice" w:id="1">
    <w:p w14:paraId="0B1DF637" w14:textId="77777777" w:rsidR="00AB6F1E" w:rsidRDefault="00AB6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D6EB" w14:textId="77777777" w:rsidR="00AB6F1E" w:rsidRDefault="00AB6F1E">
      <w:r>
        <w:separator/>
      </w:r>
    </w:p>
    <w:p w14:paraId="6199AD7E" w14:textId="77777777" w:rsidR="00AB6F1E" w:rsidRDefault="00AB6F1E"/>
    <w:p w14:paraId="5FA1967C" w14:textId="77777777" w:rsidR="00AB6F1E" w:rsidRDefault="00AB6F1E"/>
    <w:p w14:paraId="5516F979" w14:textId="77777777" w:rsidR="00AB6F1E" w:rsidRDefault="00AB6F1E"/>
    <w:p w14:paraId="6D6D7C68" w14:textId="77777777" w:rsidR="00AB6F1E" w:rsidRDefault="00AB6F1E"/>
    <w:p w14:paraId="1C4A9FBD" w14:textId="77777777" w:rsidR="00AB6F1E" w:rsidRDefault="00AB6F1E"/>
    <w:p w14:paraId="75DED62C" w14:textId="77777777" w:rsidR="00AB6F1E" w:rsidRDefault="00AB6F1E"/>
    <w:p w14:paraId="00CB3EE3" w14:textId="77777777" w:rsidR="00AB6F1E" w:rsidRDefault="00AB6F1E"/>
    <w:p w14:paraId="10384955" w14:textId="77777777" w:rsidR="00AB6F1E" w:rsidRDefault="00AB6F1E"/>
    <w:p w14:paraId="5A620491" w14:textId="77777777" w:rsidR="00AB6F1E" w:rsidRDefault="00AB6F1E"/>
    <w:p w14:paraId="7D5606FA" w14:textId="77777777" w:rsidR="00AB6F1E" w:rsidRDefault="00AB6F1E"/>
    <w:p w14:paraId="68569450" w14:textId="77777777" w:rsidR="00AB6F1E" w:rsidRDefault="00AB6F1E"/>
    <w:p w14:paraId="5C84A5B1" w14:textId="77777777" w:rsidR="00AB6F1E" w:rsidRDefault="00AB6F1E"/>
    <w:p w14:paraId="67D54EF7" w14:textId="77777777" w:rsidR="00AB6F1E" w:rsidRDefault="00AB6F1E"/>
    <w:p w14:paraId="7D43477F" w14:textId="77777777" w:rsidR="00AB6F1E" w:rsidRDefault="00AB6F1E"/>
    <w:p w14:paraId="191AD750" w14:textId="77777777" w:rsidR="00AB6F1E" w:rsidRDefault="00AB6F1E"/>
    <w:p w14:paraId="35C2DB6D" w14:textId="77777777" w:rsidR="00AB6F1E" w:rsidRDefault="00AB6F1E"/>
    <w:p w14:paraId="0F68A364" w14:textId="77777777" w:rsidR="00AB6F1E" w:rsidRDefault="00AB6F1E"/>
    <w:p w14:paraId="3C50EF0C" w14:textId="77777777" w:rsidR="00AB6F1E" w:rsidRDefault="00AB6F1E"/>
    <w:p w14:paraId="07EF7049" w14:textId="77777777" w:rsidR="00AB6F1E" w:rsidRDefault="00AB6F1E"/>
    <w:p w14:paraId="07B35A98" w14:textId="77777777" w:rsidR="00AB6F1E" w:rsidRDefault="00AB6F1E"/>
    <w:p w14:paraId="06A723EF" w14:textId="77777777" w:rsidR="00AB6F1E" w:rsidRDefault="00AB6F1E"/>
    <w:p w14:paraId="551A2977" w14:textId="77777777" w:rsidR="00AB6F1E" w:rsidRDefault="00AB6F1E"/>
    <w:p w14:paraId="67B5A96C" w14:textId="77777777" w:rsidR="00AB6F1E" w:rsidRDefault="00AB6F1E"/>
    <w:p w14:paraId="3F31835A" w14:textId="77777777" w:rsidR="00AB6F1E" w:rsidRDefault="00AB6F1E"/>
    <w:p w14:paraId="6988FBD8" w14:textId="77777777" w:rsidR="00AB6F1E" w:rsidRDefault="00AB6F1E"/>
    <w:p w14:paraId="473279BD" w14:textId="77777777" w:rsidR="00AB6F1E" w:rsidRDefault="00AB6F1E"/>
    <w:p w14:paraId="7675338E" w14:textId="77777777" w:rsidR="00AB6F1E" w:rsidRDefault="00AB6F1E"/>
    <w:p w14:paraId="0947BE02" w14:textId="77777777" w:rsidR="00AB6F1E" w:rsidRDefault="00AB6F1E"/>
    <w:p w14:paraId="20510A1A" w14:textId="77777777" w:rsidR="00AB6F1E" w:rsidRDefault="00AB6F1E"/>
    <w:p w14:paraId="5FFD43D6" w14:textId="77777777" w:rsidR="00AB6F1E" w:rsidRDefault="00AB6F1E"/>
    <w:p w14:paraId="12205205" w14:textId="77777777" w:rsidR="00AB6F1E" w:rsidRDefault="00AB6F1E"/>
    <w:p w14:paraId="7CF74528" w14:textId="77777777" w:rsidR="00AB6F1E" w:rsidRDefault="00AB6F1E"/>
    <w:p w14:paraId="35250A57" w14:textId="77777777" w:rsidR="00AB6F1E" w:rsidRDefault="00AB6F1E"/>
    <w:p w14:paraId="690A7A5A" w14:textId="77777777" w:rsidR="00AB6F1E" w:rsidRDefault="00AB6F1E"/>
    <w:p w14:paraId="5204CB3A" w14:textId="77777777" w:rsidR="00AB6F1E" w:rsidRDefault="00AB6F1E"/>
    <w:p w14:paraId="1CF54591" w14:textId="77777777" w:rsidR="00AB6F1E" w:rsidRDefault="00AB6F1E"/>
    <w:p w14:paraId="087A88D2" w14:textId="77777777" w:rsidR="00AB6F1E" w:rsidRDefault="00AB6F1E"/>
    <w:p w14:paraId="5FDF9C28" w14:textId="77777777" w:rsidR="00AB6F1E" w:rsidRDefault="00AB6F1E"/>
    <w:p w14:paraId="20768965" w14:textId="77777777" w:rsidR="00AB6F1E" w:rsidRDefault="00AB6F1E"/>
  </w:footnote>
  <w:footnote w:type="continuationSeparator" w:id="0">
    <w:p w14:paraId="4CEB5523" w14:textId="77777777" w:rsidR="00AB6F1E" w:rsidRDefault="00AB6F1E">
      <w:r>
        <w:continuationSeparator/>
      </w:r>
    </w:p>
    <w:p w14:paraId="7B2E070A" w14:textId="77777777" w:rsidR="00AB6F1E" w:rsidRDefault="00AB6F1E"/>
    <w:p w14:paraId="2FD0F6FB" w14:textId="77777777" w:rsidR="00AB6F1E" w:rsidRDefault="00AB6F1E"/>
    <w:p w14:paraId="7E9FC7D5" w14:textId="77777777" w:rsidR="00AB6F1E" w:rsidRDefault="00AB6F1E"/>
    <w:p w14:paraId="52C22F9D" w14:textId="77777777" w:rsidR="00AB6F1E" w:rsidRDefault="00AB6F1E"/>
    <w:p w14:paraId="7EA96FF9" w14:textId="77777777" w:rsidR="00AB6F1E" w:rsidRDefault="00AB6F1E"/>
    <w:p w14:paraId="4539B0C6" w14:textId="77777777" w:rsidR="00AB6F1E" w:rsidRDefault="00AB6F1E"/>
    <w:p w14:paraId="513F6595" w14:textId="77777777" w:rsidR="00AB6F1E" w:rsidRDefault="00AB6F1E"/>
    <w:p w14:paraId="0828F42D" w14:textId="77777777" w:rsidR="00AB6F1E" w:rsidRDefault="00AB6F1E"/>
    <w:p w14:paraId="262C1D2B" w14:textId="77777777" w:rsidR="00AB6F1E" w:rsidRDefault="00AB6F1E"/>
    <w:p w14:paraId="0567C4A7" w14:textId="77777777" w:rsidR="00AB6F1E" w:rsidRDefault="00AB6F1E"/>
    <w:p w14:paraId="78EFFFD3" w14:textId="77777777" w:rsidR="00AB6F1E" w:rsidRDefault="00AB6F1E"/>
    <w:p w14:paraId="2A363498" w14:textId="77777777" w:rsidR="00AB6F1E" w:rsidRDefault="00AB6F1E"/>
    <w:p w14:paraId="7C8C7745" w14:textId="77777777" w:rsidR="00AB6F1E" w:rsidRDefault="00AB6F1E"/>
    <w:p w14:paraId="33C879EB" w14:textId="77777777" w:rsidR="00AB6F1E" w:rsidRDefault="00AB6F1E"/>
    <w:p w14:paraId="2CF9FCEC" w14:textId="77777777" w:rsidR="00AB6F1E" w:rsidRDefault="00AB6F1E"/>
    <w:p w14:paraId="0D68A754" w14:textId="77777777" w:rsidR="00AB6F1E" w:rsidRDefault="00AB6F1E"/>
    <w:p w14:paraId="02E800D6" w14:textId="77777777" w:rsidR="00AB6F1E" w:rsidRDefault="00AB6F1E"/>
    <w:p w14:paraId="1974B184" w14:textId="77777777" w:rsidR="00AB6F1E" w:rsidRDefault="00AB6F1E"/>
    <w:p w14:paraId="2CCAC908" w14:textId="77777777" w:rsidR="00AB6F1E" w:rsidRDefault="00AB6F1E"/>
    <w:p w14:paraId="7A8F0B99" w14:textId="77777777" w:rsidR="00AB6F1E" w:rsidRDefault="00AB6F1E"/>
    <w:p w14:paraId="5CBCE8A9" w14:textId="77777777" w:rsidR="00AB6F1E" w:rsidRDefault="00AB6F1E"/>
    <w:p w14:paraId="563693CE" w14:textId="77777777" w:rsidR="00AB6F1E" w:rsidRDefault="00AB6F1E"/>
    <w:p w14:paraId="06D11BB5" w14:textId="77777777" w:rsidR="00AB6F1E" w:rsidRDefault="00AB6F1E"/>
    <w:p w14:paraId="1F20A860" w14:textId="77777777" w:rsidR="00AB6F1E" w:rsidRDefault="00AB6F1E"/>
    <w:p w14:paraId="42E83880" w14:textId="77777777" w:rsidR="00AB6F1E" w:rsidRDefault="00AB6F1E"/>
    <w:p w14:paraId="61CC673B" w14:textId="77777777" w:rsidR="00AB6F1E" w:rsidRDefault="00AB6F1E"/>
    <w:p w14:paraId="79A12F60" w14:textId="77777777" w:rsidR="00AB6F1E" w:rsidRDefault="00AB6F1E"/>
    <w:p w14:paraId="37A37A20" w14:textId="77777777" w:rsidR="00AB6F1E" w:rsidRDefault="00AB6F1E"/>
    <w:p w14:paraId="1590E808" w14:textId="77777777" w:rsidR="00AB6F1E" w:rsidRDefault="00AB6F1E"/>
    <w:p w14:paraId="73223C8A" w14:textId="77777777" w:rsidR="00AB6F1E" w:rsidRDefault="00AB6F1E"/>
    <w:p w14:paraId="03797ED6" w14:textId="77777777" w:rsidR="00AB6F1E" w:rsidRDefault="00AB6F1E"/>
    <w:p w14:paraId="67037F3A" w14:textId="77777777" w:rsidR="00AB6F1E" w:rsidRDefault="00AB6F1E"/>
    <w:p w14:paraId="0C34C9B6" w14:textId="77777777" w:rsidR="00AB6F1E" w:rsidRDefault="00AB6F1E"/>
    <w:p w14:paraId="602B0556" w14:textId="77777777" w:rsidR="00AB6F1E" w:rsidRDefault="00AB6F1E"/>
    <w:p w14:paraId="6D789340" w14:textId="77777777" w:rsidR="00AB6F1E" w:rsidRDefault="00AB6F1E"/>
    <w:p w14:paraId="45B5E461" w14:textId="77777777" w:rsidR="00AB6F1E" w:rsidRDefault="00AB6F1E"/>
    <w:p w14:paraId="6E0726E4" w14:textId="77777777" w:rsidR="00AB6F1E" w:rsidRDefault="00AB6F1E"/>
    <w:p w14:paraId="236BE7E0" w14:textId="77777777" w:rsidR="00AB6F1E" w:rsidRDefault="00AB6F1E"/>
    <w:p w14:paraId="7DAB3757" w14:textId="77777777" w:rsidR="00AB6F1E" w:rsidRDefault="00AB6F1E"/>
  </w:footnote>
  <w:footnote w:type="continuationNotice" w:id="1">
    <w:p w14:paraId="6CB86E40" w14:textId="77777777" w:rsidR="00AB6F1E" w:rsidRDefault="00AB6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D10F37" w:rsidRDefault="00D10F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D10F37" w:rsidRDefault="00D10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4E6180B"/>
    <w:multiLevelType w:val="hybridMultilevel"/>
    <w:tmpl w:val="352AD660"/>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3" w15:restartNumberingAfterBreak="0">
    <w:nsid w:val="15964587"/>
    <w:multiLevelType w:val="hybridMultilevel"/>
    <w:tmpl w:val="B404B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E63E34"/>
    <w:multiLevelType w:val="hybridMultilevel"/>
    <w:tmpl w:val="233E6DC4"/>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6" w15:restartNumberingAfterBreak="0">
    <w:nsid w:val="2CF86191"/>
    <w:multiLevelType w:val="hybridMultilevel"/>
    <w:tmpl w:val="78D2AE0E"/>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7" w15:restartNumberingAfterBreak="0">
    <w:nsid w:val="325D68AE"/>
    <w:multiLevelType w:val="hybridMultilevel"/>
    <w:tmpl w:val="6E4A66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76E345E"/>
    <w:multiLevelType w:val="multilevel"/>
    <w:tmpl w:val="5E929812"/>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C20FD"/>
    <w:multiLevelType w:val="hybridMultilevel"/>
    <w:tmpl w:val="6366BD0A"/>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11" w15:restartNumberingAfterBreak="0">
    <w:nsid w:val="4F1343B6"/>
    <w:multiLevelType w:val="multilevel"/>
    <w:tmpl w:val="D7325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ECC7C43"/>
    <w:multiLevelType w:val="multilevel"/>
    <w:tmpl w:val="BBC4DC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957626">
    <w:abstractNumId w:val="1"/>
  </w:num>
  <w:num w:numId="2" w16cid:durableId="1696072842">
    <w:abstractNumId w:val="12"/>
  </w:num>
  <w:num w:numId="3" w16cid:durableId="793401900">
    <w:abstractNumId w:val="5"/>
  </w:num>
  <w:num w:numId="4" w16cid:durableId="2024280193">
    <w:abstractNumId w:val="13"/>
  </w:num>
  <w:num w:numId="5" w16cid:durableId="1524593632">
    <w:abstractNumId w:val="0"/>
    <w:lvlOverride w:ilvl="0">
      <w:startOverride w:val="1"/>
    </w:lvlOverride>
  </w:num>
  <w:num w:numId="6" w16cid:durableId="1710060362">
    <w:abstractNumId w:val="15"/>
  </w:num>
  <w:num w:numId="7" w16cid:durableId="552426745">
    <w:abstractNumId w:val="9"/>
  </w:num>
  <w:num w:numId="8" w16cid:durableId="1516577186">
    <w:abstractNumId w:val="6"/>
  </w:num>
  <w:num w:numId="9" w16cid:durableId="1806117379">
    <w:abstractNumId w:val="4"/>
  </w:num>
  <w:num w:numId="10" w16cid:durableId="225189210">
    <w:abstractNumId w:val="8"/>
  </w:num>
  <w:num w:numId="11" w16cid:durableId="971910565">
    <w:abstractNumId w:val="11"/>
  </w:num>
  <w:num w:numId="12" w16cid:durableId="864515724">
    <w:abstractNumId w:val="14"/>
  </w:num>
  <w:num w:numId="13" w16cid:durableId="1483885748">
    <w:abstractNumId w:val="10"/>
  </w:num>
  <w:num w:numId="14" w16cid:durableId="1620523259">
    <w:abstractNumId w:val="2"/>
  </w:num>
  <w:num w:numId="15" w16cid:durableId="585305809">
    <w:abstractNumId w:val="3"/>
  </w:num>
  <w:num w:numId="16" w16cid:durableId="965356963">
    <w:abstractNumId w:val="7"/>
  </w:num>
  <w:num w:numId="17" w16cid:durableId="988636397">
    <w:abstractNumId w:val="12"/>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3EEC"/>
    <w:rsid w:val="00015AFA"/>
    <w:rsid w:val="000336CB"/>
    <w:rsid w:val="0003620F"/>
    <w:rsid w:val="000379B1"/>
    <w:rsid w:val="00037DFF"/>
    <w:rsid w:val="00041DBD"/>
    <w:rsid w:val="00042440"/>
    <w:rsid w:val="00043C89"/>
    <w:rsid w:val="00044DA1"/>
    <w:rsid w:val="000475E3"/>
    <w:rsid w:val="0004798F"/>
    <w:rsid w:val="000517B4"/>
    <w:rsid w:val="00052013"/>
    <w:rsid w:val="00052F4C"/>
    <w:rsid w:val="0005607D"/>
    <w:rsid w:val="00056EC1"/>
    <w:rsid w:val="000628BB"/>
    <w:rsid w:val="0006494C"/>
    <w:rsid w:val="00066C99"/>
    <w:rsid w:val="0006702D"/>
    <w:rsid w:val="00067D0F"/>
    <w:rsid w:val="00067D4C"/>
    <w:rsid w:val="00071AF3"/>
    <w:rsid w:val="00072D74"/>
    <w:rsid w:val="00074483"/>
    <w:rsid w:val="00076FCE"/>
    <w:rsid w:val="00080852"/>
    <w:rsid w:val="00081A96"/>
    <w:rsid w:val="00081DF6"/>
    <w:rsid w:val="00083834"/>
    <w:rsid w:val="00084DE1"/>
    <w:rsid w:val="00086FFD"/>
    <w:rsid w:val="000924E5"/>
    <w:rsid w:val="00093E7B"/>
    <w:rsid w:val="00094F4D"/>
    <w:rsid w:val="00097204"/>
    <w:rsid w:val="00097547"/>
    <w:rsid w:val="000A002F"/>
    <w:rsid w:val="000A2BAC"/>
    <w:rsid w:val="000A7835"/>
    <w:rsid w:val="000B549A"/>
    <w:rsid w:val="000B7329"/>
    <w:rsid w:val="000B7B79"/>
    <w:rsid w:val="000C3818"/>
    <w:rsid w:val="000C41B5"/>
    <w:rsid w:val="000C5886"/>
    <w:rsid w:val="000D1750"/>
    <w:rsid w:val="000D2759"/>
    <w:rsid w:val="000D2EE2"/>
    <w:rsid w:val="000D573D"/>
    <w:rsid w:val="000E1984"/>
    <w:rsid w:val="000E20F4"/>
    <w:rsid w:val="000E2650"/>
    <w:rsid w:val="000E2F26"/>
    <w:rsid w:val="000E3E99"/>
    <w:rsid w:val="000E6D5B"/>
    <w:rsid w:val="000E6E10"/>
    <w:rsid w:val="000E7D16"/>
    <w:rsid w:val="000F0CD9"/>
    <w:rsid w:val="000F1B26"/>
    <w:rsid w:val="000F4049"/>
    <w:rsid w:val="001022CF"/>
    <w:rsid w:val="0010507A"/>
    <w:rsid w:val="00107C1B"/>
    <w:rsid w:val="00114E09"/>
    <w:rsid w:val="00120E8F"/>
    <w:rsid w:val="00130051"/>
    <w:rsid w:val="00135C64"/>
    <w:rsid w:val="00137EC7"/>
    <w:rsid w:val="001446A9"/>
    <w:rsid w:val="00147135"/>
    <w:rsid w:val="00147B72"/>
    <w:rsid w:val="00150A07"/>
    <w:rsid w:val="00151079"/>
    <w:rsid w:val="0015285F"/>
    <w:rsid w:val="001536BC"/>
    <w:rsid w:val="00153CC8"/>
    <w:rsid w:val="00154167"/>
    <w:rsid w:val="00154980"/>
    <w:rsid w:val="00154AA1"/>
    <w:rsid w:val="0015506B"/>
    <w:rsid w:val="0015507C"/>
    <w:rsid w:val="0015760E"/>
    <w:rsid w:val="00161727"/>
    <w:rsid w:val="00170EFC"/>
    <w:rsid w:val="00171B0F"/>
    <w:rsid w:val="00172463"/>
    <w:rsid w:val="001737AC"/>
    <w:rsid w:val="00175A46"/>
    <w:rsid w:val="001771DF"/>
    <w:rsid w:val="00182053"/>
    <w:rsid w:val="0018281E"/>
    <w:rsid w:val="00183930"/>
    <w:rsid w:val="00195503"/>
    <w:rsid w:val="00196CD1"/>
    <w:rsid w:val="001A2625"/>
    <w:rsid w:val="001A346F"/>
    <w:rsid w:val="001B16A7"/>
    <w:rsid w:val="001B1C6B"/>
    <w:rsid w:val="001B6EE6"/>
    <w:rsid w:val="001C0783"/>
    <w:rsid w:val="001C134C"/>
    <w:rsid w:val="001C2B90"/>
    <w:rsid w:val="001C46E9"/>
    <w:rsid w:val="001C531C"/>
    <w:rsid w:val="001C7C40"/>
    <w:rsid w:val="001D6C60"/>
    <w:rsid w:val="001E005F"/>
    <w:rsid w:val="001E0955"/>
    <w:rsid w:val="001E2230"/>
    <w:rsid w:val="001F1AD3"/>
    <w:rsid w:val="001F54ED"/>
    <w:rsid w:val="001F5BF6"/>
    <w:rsid w:val="001F708D"/>
    <w:rsid w:val="00204094"/>
    <w:rsid w:val="002041E6"/>
    <w:rsid w:val="00207C08"/>
    <w:rsid w:val="00210EF1"/>
    <w:rsid w:val="002207E6"/>
    <w:rsid w:val="00222950"/>
    <w:rsid w:val="00222CB1"/>
    <w:rsid w:val="0022562E"/>
    <w:rsid w:val="00230887"/>
    <w:rsid w:val="00232F45"/>
    <w:rsid w:val="002367FB"/>
    <w:rsid w:val="00236CFF"/>
    <w:rsid w:val="00237759"/>
    <w:rsid w:val="00237A31"/>
    <w:rsid w:val="002400A3"/>
    <w:rsid w:val="002405E9"/>
    <w:rsid w:val="00242543"/>
    <w:rsid w:val="0024292D"/>
    <w:rsid w:val="00243A81"/>
    <w:rsid w:val="002462DC"/>
    <w:rsid w:val="00246C77"/>
    <w:rsid w:val="00247883"/>
    <w:rsid w:val="002503DD"/>
    <w:rsid w:val="00255048"/>
    <w:rsid w:val="00255D98"/>
    <w:rsid w:val="002605CC"/>
    <w:rsid w:val="002630B8"/>
    <w:rsid w:val="0026573B"/>
    <w:rsid w:val="0026728B"/>
    <w:rsid w:val="00267FED"/>
    <w:rsid w:val="0027303C"/>
    <w:rsid w:val="00273FDF"/>
    <w:rsid w:val="002778E1"/>
    <w:rsid w:val="0028455A"/>
    <w:rsid w:val="00284821"/>
    <w:rsid w:val="00285CCD"/>
    <w:rsid w:val="00293DE5"/>
    <w:rsid w:val="00293E54"/>
    <w:rsid w:val="0029575B"/>
    <w:rsid w:val="00296CFD"/>
    <w:rsid w:val="002977D8"/>
    <w:rsid w:val="002A3122"/>
    <w:rsid w:val="002A4E36"/>
    <w:rsid w:val="002A4E46"/>
    <w:rsid w:val="002B100B"/>
    <w:rsid w:val="002B6488"/>
    <w:rsid w:val="002B674C"/>
    <w:rsid w:val="002B6C4F"/>
    <w:rsid w:val="002B7F82"/>
    <w:rsid w:val="002C3717"/>
    <w:rsid w:val="002C4550"/>
    <w:rsid w:val="002C5F7F"/>
    <w:rsid w:val="002D0BB8"/>
    <w:rsid w:val="002D17B3"/>
    <w:rsid w:val="002D34D8"/>
    <w:rsid w:val="002D3B6B"/>
    <w:rsid w:val="002D66EF"/>
    <w:rsid w:val="002E06DD"/>
    <w:rsid w:val="002E2489"/>
    <w:rsid w:val="002E2C05"/>
    <w:rsid w:val="002E433D"/>
    <w:rsid w:val="002E6E0A"/>
    <w:rsid w:val="002E73F1"/>
    <w:rsid w:val="002F0A4D"/>
    <w:rsid w:val="002F1273"/>
    <w:rsid w:val="002F3C60"/>
    <w:rsid w:val="002F6B4D"/>
    <w:rsid w:val="00307D04"/>
    <w:rsid w:val="00316F71"/>
    <w:rsid w:val="003171FF"/>
    <w:rsid w:val="00317316"/>
    <w:rsid w:val="00317419"/>
    <w:rsid w:val="003202A9"/>
    <w:rsid w:val="0032282C"/>
    <w:rsid w:val="00322F1E"/>
    <w:rsid w:val="00323182"/>
    <w:rsid w:val="003252A4"/>
    <w:rsid w:val="00325FAD"/>
    <w:rsid w:val="00326B1E"/>
    <w:rsid w:val="00330924"/>
    <w:rsid w:val="003336C2"/>
    <w:rsid w:val="00334132"/>
    <w:rsid w:val="0033470D"/>
    <w:rsid w:val="00335732"/>
    <w:rsid w:val="00335A26"/>
    <w:rsid w:val="003362BF"/>
    <w:rsid w:val="003415BF"/>
    <w:rsid w:val="00342B74"/>
    <w:rsid w:val="00343647"/>
    <w:rsid w:val="003439EB"/>
    <w:rsid w:val="003446F0"/>
    <w:rsid w:val="003455B5"/>
    <w:rsid w:val="00346646"/>
    <w:rsid w:val="00347794"/>
    <w:rsid w:val="00350D91"/>
    <w:rsid w:val="00353E20"/>
    <w:rsid w:val="003556C6"/>
    <w:rsid w:val="00357316"/>
    <w:rsid w:val="003578B4"/>
    <w:rsid w:val="00367885"/>
    <w:rsid w:val="00370782"/>
    <w:rsid w:val="00370949"/>
    <w:rsid w:val="003747B9"/>
    <w:rsid w:val="00380743"/>
    <w:rsid w:val="003813A9"/>
    <w:rsid w:val="0038353C"/>
    <w:rsid w:val="00384BAA"/>
    <w:rsid w:val="003853BF"/>
    <w:rsid w:val="00386FA4"/>
    <w:rsid w:val="003874B1"/>
    <w:rsid w:val="003879C7"/>
    <w:rsid w:val="00392A6B"/>
    <w:rsid w:val="00392D70"/>
    <w:rsid w:val="0039386D"/>
    <w:rsid w:val="00395068"/>
    <w:rsid w:val="00395808"/>
    <w:rsid w:val="00397EE5"/>
    <w:rsid w:val="003A0304"/>
    <w:rsid w:val="003A06A5"/>
    <w:rsid w:val="003B1975"/>
    <w:rsid w:val="003B4453"/>
    <w:rsid w:val="003B532A"/>
    <w:rsid w:val="003C14BB"/>
    <w:rsid w:val="003C4410"/>
    <w:rsid w:val="003C559E"/>
    <w:rsid w:val="003C6251"/>
    <w:rsid w:val="003C64AD"/>
    <w:rsid w:val="003D1B53"/>
    <w:rsid w:val="003D1F9B"/>
    <w:rsid w:val="003D2E34"/>
    <w:rsid w:val="003D3B16"/>
    <w:rsid w:val="003D7DD6"/>
    <w:rsid w:val="003E13B3"/>
    <w:rsid w:val="003E1F02"/>
    <w:rsid w:val="003E2B88"/>
    <w:rsid w:val="003E3FD7"/>
    <w:rsid w:val="003E6042"/>
    <w:rsid w:val="003F05F6"/>
    <w:rsid w:val="003F2A8A"/>
    <w:rsid w:val="003F3D8A"/>
    <w:rsid w:val="003F5266"/>
    <w:rsid w:val="003F65FB"/>
    <w:rsid w:val="0040019B"/>
    <w:rsid w:val="0040161A"/>
    <w:rsid w:val="00402F63"/>
    <w:rsid w:val="0040381C"/>
    <w:rsid w:val="00404F2F"/>
    <w:rsid w:val="0040681C"/>
    <w:rsid w:val="00410CA2"/>
    <w:rsid w:val="00412D32"/>
    <w:rsid w:val="004214F1"/>
    <w:rsid w:val="00424B9A"/>
    <w:rsid w:val="0042513B"/>
    <w:rsid w:val="0042523E"/>
    <w:rsid w:val="00425386"/>
    <w:rsid w:val="00426BCD"/>
    <w:rsid w:val="0043154E"/>
    <w:rsid w:val="004323EA"/>
    <w:rsid w:val="00434B3E"/>
    <w:rsid w:val="0043622D"/>
    <w:rsid w:val="0044197C"/>
    <w:rsid w:val="00446C23"/>
    <w:rsid w:val="00451145"/>
    <w:rsid w:val="0045219B"/>
    <w:rsid w:val="00453391"/>
    <w:rsid w:val="00453E21"/>
    <w:rsid w:val="004609ED"/>
    <w:rsid w:val="00462C36"/>
    <w:rsid w:val="004633E7"/>
    <w:rsid w:val="00465961"/>
    <w:rsid w:val="00470B0F"/>
    <w:rsid w:val="00475B98"/>
    <w:rsid w:val="00480FF5"/>
    <w:rsid w:val="00481657"/>
    <w:rsid w:val="00482000"/>
    <w:rsid w:val="0048455B"/>
    <w:rsid w:val="00485ECC"/>
    <w:rsid w:val="0048785B"/>
    <w:rsid w:val="00491F79"/>
    <w:rsid w:val="00491FFF"/>
    <w:rsid w:val="00492147"/>
    <w:rsid w:val="0049316B"/>
    <w:rsid w:val="004934AB"/>
    <w:rsid w:val="00495AB3"/>
    <w:rsid w:val="0049632B"/>
    <w:rsid w:val="00497072"/>
    <w:rsid w:val="004A07E4"/>
    <w:rsid w:val="004A0D1C"/>
    <w:rsid w:val="004A18CF"/>
    <w:rsid w:val="004A4AA9"/>
    <w:rsid w:val="004B1BE3"/>
    <w:rsid w:val="004B1FF0"/>
    <w:rsid w:val="004B55F6"/>
    <w:rsid w:val="004B7C18"/>
    <w:rsid w:val="004C421A"/>
    <w:rsid w:val="004C4D48"/>
    <w:rsid w:val="004C57F6"/>
    <w:rsid w:val="004D074A"/>
    <w:rsid w:val="004D3C6F"/>
    <w:rsid w:val="004D4D08"/>
    <w:rsid w:val="004E3ADF"/>
    <w:rsid w:val="004F103A"/>
    <w:rsid w:val="004F60CA"/>
    <w:rsid w:val="0050298C"/>
    <w:rsid w:val="00502DE8"/>
    <w:rsid w:val="005043FC"/>
    <w:rsid w:val="0050442B"/>
    <w:rsid w:val="0050446B"/>
    <w:rsid w:val="005063A5"/>
    <w:rsid w:val="00506DB1"/>
    <w:rsid w:val="00510E12"/>
    <w:rsid w:val="00511F2C"/>
    <w:rsid w:val="005133F5"/>
    <w:rsid w:val="005151FF"/>
    <w:rsid w:val="00516485"/>
    <w:rsid w:val="005176DF"/>
    <w:rsid w:val="00521E6C"/>
    <w:rsid w:val="00522686"/>
    <w:rsid w:val="00525750"/>
    <w:rsid w:val="00531194"/>
    <w:rsid w:val="00532CF9"/>
    <w:rsid w:val="005349BD"/>
    <w:rsid w:val="00534DE1"/>
    <w:rsid w:val="00535913"/>
    <w:rsid w:val="0053607B"/>
    <w:rsid w:val="00541770"/>
    <w:rsid w:val="00541E40"/>
    <w:rsid w:val="00542956"/>
    <w:rsid w:val="0054561A"/>
    <w:rsid w:val="005461E5"/>
    <w:rsid w:val="005473E0"/>
    <w:rsid w:val="00547E4E"/>
    <w:rsid w:val="00554077"/>
    <w:rsid w:val="0055472F"/>
    <w:rsid w:val="00555997"/>
    <w:rsid w:val="00555CA7"/>
    <w:rsid w:val="005576F9"/>
    <w:rsid w:val="00561B84"/>
    <w:rsid w:val="00562C89"/>
    <w:rsid w:val="00564928"/>
    <w:rsid w:val="00566C18"/>
    <w:rsid w:val="00571093"/>
    <w:rsid w:val="005717AA"/>
    <w:rsid w:val="0057254C"/>
    <w:rsid w:val="005733E1"/>
    <w:rsid w:val="00576B2E"/>
    <w:rsid w:val="00584FFD"/>
    <w:rsid w:val="005854F9"/>
    <w:rsid w:val="00585F25"/>
    <w:rsid w:val="00586457"/>
    <w:rsid w:val="0059190F"/>
    <w:rsid w:val="00591BE1"/>
    <w:rsid w:val="005922DC"/>
    <w:rsid w:val="00595DA9"/>
    <w:rsid w:val="00597B20"/>
    <w:rsid w:val="005A0420"/>
    <w:rsid w:val="005A255C"/>
    <w:rsid w:val="005A350B"/>
    <w:rsid w:val="005B4E6A"/>
    <w:rsid w:val="005B4FF4"/>
    <w:rsid w:val="005B5602"/>
    <w:rsid w:val="005B6BA6"/>
    <w:rsid w:val="005C04FA"/>
    <w:rsid w:val="005C25B8"/>
    <w:rsid w:val="005C3B7A"/>
    <w:rsid w:val="005C59FA"/>
    <w:rsid w:val="005C7565"/>
    <w:rsid w:val="005C7C3D"/>
    <w:rsid w:val="005D1575"/>
    <w:rsid w:val="005D4E16"/>
    <w:rsid w:val="005D6557"/>
    <w:rsid w:val="005E269B"/>
    <w:rsid w:val="005E28F6"/>
    <w:rsid w:val="005E4895"/>
    <w:rsid w:val="005E4A4B"/>
    <w:rsid w:val="005F279B"/>
    <w:rsid w:val="005F3929"/>
    <w:rsid w:val="005F3C5A"/>
    <w:rsid w:val="005F4667"/>
    <w:rsid w:val="005F5B0E"/>
    <w:rsid w:val="005F72FB"/>
    <w:rsid w:val="0060287C"/>
    <w:rsid w:val="00603235"/>
    <w:rsid w:val="00620008"/>
    <w:rsid w:val="006203F4"/>
    <w:rsid w:val="0062569A"/>
    <w:rsid w:val="00626675"/>
    <w:rsid w:val="006267CB"/>
    <w:rsid w:val="00631FE4"/>
    <w:rsid w:val="0063616E"/>
    <w:rsid w:val="00640176"/>
    <w:rsid w:val="0064330F"/>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5B09"/>
    <w:rsid w:val="00676013"/>
    <w:rsid w:val="00677FF3"/>
    <w:rsid w:val="0068129E"/>
    <w:rsid w:val="006821E9"/>
    <w:rsid w:val="00682700"/>
    <w:rsid w:val="00682939"/>
    <w:rsid w:val="0068338C"/>
    <w:rsid w:val="006911B1"/>
    <w:rsid w:val="00695D92"/>
    <w:rsid w:val="006A138F"/>
    <w:rsid w:val="006A3527"/>
    <w:rsid w:val="006A4A2C"/>
    <w:rsid w:val="006A6F9F"/>
    <w:rsid w:val="006B0D8B"/>
    <w:rsid w:val="006B15C1"/>
    <w:rsid w:val="006B7AA6"/>
    <w:rsid w:val="006C0BA0"/>
    <w:rsid w:val="006C0BC4"/>
    <w:rsid w:val="006C3C20"/>
    <w:rsid w:val="006C4B57"/>
    <w:rsid w:val="006D01BD"/>
    <w:rsid w:val="006D1A65"/>
    <w:rsid w:val="006D3DF1"/>
    <w:rsid w:val="006D528D"/>
    <w:rsid w:val="006D5E20"/>
    <w:rsid w:val="006E1013"/>
    <w:rsid w:val="006E104F"/>
    <w:rsid w:val="006E142D"/>
    <w:rsid w:val="006E164A"/>
    <w:rsid w:val="006E1896"/>
    <w:rsid w:val="006F1410"/>
    <w:rsid w:val="006F40A1"/>
    <w:rsid w:val="006F4C33"/>
    <w:rsid w:val="006F65A3"/>
    <w:rsid w:val="00703CC3"/>
    <w:rsid w:val="00704CAD"/>
    <w:rsid w:val="007053F9"/>
    <w:rsid w:val="00706401"/>
    <w:rsid w:val="007103E4"/>
    <w:rsid w:val="00710824"/>
    <w:rsid w:val="00711FF7"/>
    <w:rsid w:val="00717E81"/>
    <w:rsid w:val="007244B1"/>
    <w:rsid w:val="00724E78"/>
    <w:rsid w:val="0072534B"/>
    <w:rsid w:val="00726457"/>
    <w:rsid w:val="00726CBF"/>
    <w:rsid w:val="007272C6"/>
    <w:rsid w:val="00733032"/>
    <w:rsid w:val="00733864"/>
    <w:rsid w:val="007338D0"/>
    <w:rsid w:val="00734A3F"/>
    <w:rsid w:val="00741A36"/>
    <w:rsid w:val="00741BF6"/>
    <w:rsid w:val="007442B2"/>
    <w:rsid w:val="00744693"/>
    <w:rsid w:val="00751871"/>
    <w:rsid w:val="00751EB8"/>
    <w:rsid w:val="00753A9A"/>
    <w:rsid w:val="007614CA"/>
    <w:rsid w:val="0076193B"/>
    <w:rsid w:val="00761C8F"/>
    <w:rsid w:val="007657E8"/>
    <w:rsid w:val="00765C4F"/>
    <w:rsid w:val="00767438"/>
    <w:rsid w:val="0077112F"/>
    <w:rsid w:val="00774BB0"/>
    <w:rsid w:val="00780688"/>
    <w:rsid w:val="007859F6"/>
    <w:rsid w:val="007873D0"/>
    <w:rsid w:val="00795074"/>
    <w:rsid w:val="00797C5A"/>
    <w:rsid w:val="007A2C4F"/>
    <w:rsid w:val="007A59E7"/>
    <w:rsid w:val="007B0136"/>
    <w:rsid w:val="007B0BB8"/>
    <w:rsid w:val="007B1C5B"/>
    <w:rsid w:val="007B1D3B"/>
    <w:rsid w:val="007B6836"/>
    <w:rsid w:val="007B686E"/>
    <w:rsid w:val="007C1433"/>
    <w:rsid w:val="007C3D4C"/>
    <w:rsid w:val="007C49C0"/>
    <w:rsid w:val="007C6367"/>
    <w:rsid w:val="007D4000"/>
    <w:rsid w:val="007D4A30"/>
    <w:rsid w:val="007D6CF8"/>
    <w:rsid w:val="007E2A9D"/>
    <w:rsid w:val="007E4B8A"/>
    <w:rsid w:val="007E50F5"/>
    <w:rsid w:val="007E6C98"/>
    <w:rsid w:val="007E6E6B"/>
    <w:rsid w:val="007E6F60"/>
    <w:rsid w:val="007E7275"/>
    <w:rsid w:val="007F0F1E"/>
    <w:rsid w:val="007F1611"/>
    <w:rsid w:val="007F250A"/>
    <w:rsid w:val="007F2B95"/>
    <w:rsid w:val="007F69E1"/>
    <w:rsid w:val="007F7C74"/>
    <w:rsid w:val="0080021E"/>
    <w:rsid w:val="00803049"/>
    <w:rsid w:val="00805322"/>
    <w:rsid w:val="00805CC8"/>
    <w:rsid w:val="008133EC"/>
    <w:rsid w:val="008139DE"/>
    <w:rsid w:val="00814085"/>
    <w:rsid w:val="00816B10"/>
    <w:rsid w:val="008240C0"/>
    <w:rsid w:val="00826326"/>
    <w:rsid w:val="008273AC"/>
    <w:rsid w:val="00827E52"/>
    <w:rsid w:val="0083144E"/>
    <w:rsid w:val="00833B30"/>
    <w:rsid w:val="0083575D"/>
    <w:rsid w:val="00835E1C"/>
    <w:rsid w:val="008376F6"/>
    <w:rsid w:val="008379F7"/>
    <w:rsid w:val="00837F5E"/>
    <w:rsid w:val="008400D4"/>
    <w:rsid w:val="008411B6"/>
    <w:rsid w:val="0084377F"/>
    <w:rsid w:val="00846661"/>
    <w:rsid w:val="00847036"/>
    <w:rsid w:val="0085334C"/>
    <w:rsid w:val="00853C16"/>
    <w:rsid w:val="008563C1"/>
    <w:rsid w:val="00856726"/>
    <w:rsid w:val="00856779"/>
    <w:rsid w:val="0085737A"/>
    <w:rsid w:val="00857C9C"/>
    <w:rsid w:val="00870EF3"/>
    <w:rsid w:val="00877978"/>
    <w:rsid w:val="00877EC1"/>
    <w:rsid w:val="0088345A"/>
    <w:rsid w:val="00891EF3"/>
    <w:rsid w:val="0089708A"/>
    <w:rsid w:val="008A1918"/>
    <w:rsid w:val="008A35DD"/>
    <w:rsid w:val="008A43EF"/>
    <w:rsid w:val="008A62AA"/>
    <w:rsid w:val="008B3F61"/>
    <w:rsid w:val="008B521C"/>
    <w:rsid w:val="008C09AB"/>
    <w:rsid w:val="008C0E89"/>
    <w:rsid w:val="008C32AB"/>
    <w:rsid w:val="008C3BD8"/>
    <w:rsid w:val="008C40D7"/>
    <w:rsid w:val="008C7382"/>
    <w:rsid w:val="008D195F"/>
    <w:rsid w:val="008D35F0"/>
    <w:rsid w:val="008D5EEB"/>
    <w:rsid w:val="008E0864"/>
    <w:rsid w:val="008E2159"/>
    <w:rsid w:val="008E2695"/>
    <w:rsid w:val="008E3F67"/>
    <w:rsid w:val="008E4A39"/>
    <w:rsid w:val="008E58E7"/>
    <w:rsid w:val="008E7103"/>
    <w:rsid w:val="008F317A"/>
    <w:rsid w:val="008F3A5A"/>
    <w:rsid w:val="008F7486"/>
    <w:rsid w:val="00900CF8"/>
    <w:rsid w:val="00902120"/>
    <w:rsid w:val="00902F53"/>
    <w:rsid w:val="00903750"/>
    <w:rsid w:val="0090657A"/>
    <w:rsid w:val="00907DCF"/>
    <w:rsid w:val="00914101"/>
    <w:rsid w:val="00916A82"/>
    <w:rsid w:val="00921884"/>
    <w:rsid w:val="009221C8"/>
    <w:rsid w:val="00930AE9"/>
    <w:rsid w:val="00930DDD"/>
    <w:rsid w:val="0093249F"/>
    <w:rsid w:val="009424D2"/>
    <w:rsid w:val="00944AFC"/>
    <w:rsid w:val="0094613C"/>
    <w:rsid w:val="00956B7B"/>
    <w:rsid w:val="00956E7A"/>
    <w:rsid w:val="00960B77"/>
    <w:rsid w:val="00961797"/>
    <w:rsid w:val="00961C43"/>
    <w:rsid w:val="00961F68"/>
    <w:rsid w:val="00962715"/>
    <w:rsid w:val="00962C95"/>
    <w:rsid w:val="0097176A"/>
    <w:rsid w:val="00975B23"/>
    <w:rsid w:val="0097632B"/>
    <w:rsid w:val="0098368D"/>
    <w:rsid w:val="00983AC3"/>
    <w:rsid w:val="00983EE6"/>
    <w:rsid w:val="00984383"/>
    <w:rsid w:val="00984DA2"/>
    <w:rsid w:val="00995012"/>
    <w:rsid w:val="00996D47"/>
    <w:rsid w:val="009A0E17"/>
    <w:rsid w:val="009A14DD"/>
    <w:rsid w:val="009A205C"/>
    <w:rsid w:val="009A6F9E"/>
    <w:rsid w:val="009B0B16"/>
    <w:rsid w:val="009B1D87"/>
    <w:rsid w:val="009B33CE"/>
    <w:rsid w:val="009B41FF"/>
    <w:rsid w:val="009B5246"/>
    <w:rsid w:val="009B6AD6"/>
    <w:rsid w:val="009C0D2F"/>
    <w:rsid w:val="009C6BDD"/>
    <w:rsid w:val="009C6C37"/>
    <w:rsid w:val="009D1BE2"/>
    <w:rsid w:val="009D2D8B"/>
    <w:rsid w:val="009D3E4D"/>
    <w:rsid w:val="009D440E"/>
    <w:rsid w:val="009D44BA"/>
    <w:rsid w:val="009D6591"/>
    <w:rsid w:val="009D6971"/>
    <w:rsid w:val="009E1D88"/>
    <w:rsid w:val="009E3C72"/>
    <w:rsid w:val="009E3EC4"/>
    <w:rsid w:val="009E59E8"/>
    <w:rsid w:val="009F009D"/>
    <w:rsid w:val="009F1D7C"/>
    <w:rsid w:val="009F35E7"/>
    <w:rsid w:val="009F5499"/>
    <w:rsid w:val="009F5848"/>
    <w:rsid w:val="009F7D1A"/>
    <w:rsid w:val="00A00FBF"/>
    <w:rsid w:val="00A010D0"/>
    <w:rsid w:val="00A021B8"/>
    <w:rsid w:val="00A0230A"/>
    <w:rsid w:val="00A025A0"/>
    <w:rsid w:val="00A02EF4"/>
    <w:rsid w:val="00A11A19"/>
    <w:rsid w:val="00A14CD3"/>
    <w:rsid w:val="00A25B40"/>
    <w:rsid w:val="00A2654B"/>
    <w:rsid w:val="00A27F8C"/>
    <w:rsid w:val="00A34066"/>
    <w:rsid w:val="00A40958"/>
    <w:rsid w:val="00A40C44"/>
    <w:rsid w:val="00A4189A"/>
    <w:rsid w:val="00A41904"/>
    <w:rsid w:val="00A46325"/>
    <w:rsid w:val="00A474B1"/>
    <w:rsid w:val="00A55A86"/>
    <w:rsid w:val="00A56CEE"/>
    <w:rsid w:val="00A60AD7"/>
    <w:rsid w:val="00A6122E"/>
    <w:rsid w:val="00A61453"/>
    <w:rsid w:val="00A639F5"/>
    <w:rsid w:val="00A64376"/>
    <w:rsid w:val="00A66295"/>
    <w:rsid w:val="00A67BB9"/>
    <w:rsid w:val="00A67FE1"/>
    <w:rsid w:val="00A718D8"/>
    <w:rsid w:val="00A72B28"/>
    <w:rsid w:val="00A739C1"/>
    <w:rsid w:val="00A7509B"/>
    <w:rsid w:val="00A767D5"/>
    <w:rsid w:val="00A76C09"/>
    <w:rsid w:val="00A77110"/>
    <w:rsid w:val="00A77A61"/>
    <w:rsid w:val="00A81530"/>
    <w:rsid w:val="00A83D9D"/>
    <w:rsid w:val="00A913D2"/>
    <w:rsid w:val="00A92567"/>
    <w:rsid w:val="00A92964"/>
    <w:rsid w:val="00A9479E"/>
    <w:rsid w:val="00A95016"/>
    <w:rsid w:val="00A97309"/>
    <w:rsid w:val="00A97C0B"/>
    <w:rsid w:val="00AA32D9"/>
    <w:rsid w:val="00AB3B57"/>
    <w:rsid w:val="00AB5D36"/>
    <w:rsid w:val="00AB6F1E"/>
    <w:rsid w:val="00AB70DC"/>
    <w:rsid w:val="00AC3171"/>
    <w:rsid w:val="00AC35E8"/>
    <w:rsid w:val="00AD189D"/>
    <w:rsid w:val="00AD3E76"/>
    <w:rsid w:val="00AD4D23"/>
    <w:rsid w:val="00AD4EF8"/>
    <w:rsid w:val="00AD5383"/>
    <w:rsid w:val="00AE56A3"/>
    <w:rsid w:val="00AE5979"/>
    <w:rsid w:val="00AE625A"/>
    <w:rsid w:val="00AE67D7"/>
    <w:rsid w:val="00AE75DE"/>
    <w:rsid w:val="00AE7BA1"/>
    <w:rsid w:val="00AF0603"/>
    <w:rsid w:val="00AF4326"/>
    <w:rsid w:val="00AF6326"/>
    <w:rsid w:val="00B01C2C"/>
    <w:rsid w:val="00B03BD3"/>
    <w:rsid w:val="00B03EC5"/>
    <w:rsid w:val="00B04D11"/>
    <w:rsid w:val="00B05667"/>
    <w:rsid w:val="00B067E2"/>
    <w:rsid w:val="00B11854"/>
    <w:rsid w:val="00B16B85"/>
    <w:rsid w:val="00B1781E"/>
    <w:rsid w:val="00B22E08"/>
    <w:rsid w:val="00B3188C"/>
    <w:rsid w:val="00B34CEA"/>
    <w:rsid w:val="00B37710"/>
    <w:rsid w:val="00B378A1"/>
    <w:rsid w:val="00B424E0"/>
    <w:rsid w:val="00B43387"/>
    <w:rsid w:val="00B458BA"/>
    <w:rsid w:val="00B46662"/>
    <w:rsid w:val="00B50A81"/>
    <w:rsid w:val="00B51399"/>
    <w:rsid w:val="00B51FAB"/>
    <w:rsid w:val="00B565FD"/>
    <w:rsid w:val="00B602C9"/>
    <w:rsid w:val="00B61EB9"/>
    <w:rsid w:val="00B63344"/>
    <w:rsid w:val="00B65B06"/>
    <w:rsid w:val="00B6724E"/>
    <w:rsid w:val="00B70013"/>
    <w:rsid w:val="00B70CAD"/>
    <w:rsid w:val="00B81AD0"/>
    <w:rsid w:val="00B81B7F"/>
    <w:rsid w:val="00B824B1"/>
    <w:rsid w:val="00B82D54"/>
    <w:rsid w:val="00B86CEE"/>
    <w:rsid w:val="00B8715F"/>
    <w:rsid w:val="00B9236F"/>
    <w:rsid w:val="00B92F9E"/>
    <w:rsid w:val="00B93D2B"/>
    <w:rsid w:val="00B94603"/>
    <w:rsid w:val="00B94C1F"/>
    <w:rsid w:val="00B94FCF"/>
    <w:rsid w:val="00B95A47"/>
    <w:rsid w:val="00B95D07"/>
    <w:rsid w:val="00BA15F8"/>
    <w:rsid w:val="00BA1A15"/>
    <w:rsid w:val="00BA2887"/>
    <w:rsid w:val="00BA34D7"/>
    <w:rsid w:val="00BA59D0"/>
    <w:rsid w:val="00BA678E"/>
    <w:rsid w:val="00BB0EAE"/>
    <w:rsid w:val="00BB285D"/>
    <w:rsid w:val="00BC0AE1"/>
    <w:rsid w:val="00BD1953"/>
    <w:rsid w:val="00BD3EC7"/>
    <w:rsid w:val="00BD4226"/>
    <w:rsid w:val="00BD5185"/>
    <w:rsid w:val="00BD60B5"/>
    <w:rsid w:val="00BD7A99"/>
    <w:rsid w:val="00BF1E81"/>
    <w:rsid w:val="00BF2E30"/>
    <w:rsid w:val="00BF6E61"/>
    <w:rsid w:val="00C003AE"/>
    <w:rsid w:val="00C06346"/>
    <w:rsid w:val="00C077D1"/>
    <w:rsid w:val="00C12365"/>
    <w:rsid w:val="00C13E6F"/>
    <w:rsid w:val="00C14F78"/>
    <w:rsid w:val="00C16414"/>
    <w:rsid w:val="00C20098"/>
    <w:rsid w:val="00C20DB9"/>
    <w:rsid w:val="00C2117F"/>
    <w:rsid w:val="00C2401D"/>
    <w:rsid w:val="00C254F7"/>
    <w:rsid w:val="00C266F7"/>
    <w:rsid w:val="00C35D40"/>
    <w:rsid w:val="00C40209"/>
    <w:rsid w:val="00C403A0"/>
    <w:rsid w:val="00C40B06"/>
    <w:rsid w:val="00C4159A"/>
    <w:rsid w:val="00C450DB"/>
    <w:rsid w:val="00C51218"/>
    <w:rsid w:val="00C52867"/>
    <w:rsid w:val="00C55B59"/>
    <w:rsid w:val="00C5654B"/>
    <w:rsid w:val="00C56680"/>
    <w:rsid w:val="00C56760"/>
    <w:rsid w:val="00C63F98"/>
    <w:rsid w:val="00C64A83"/>
    <w:rsid w:val="00C7069F"/>
    <w:rsid w:val="00C72A96"/>
    <w:rsid w:val="00C74B75"/>
    <w:rsid w:val="00C758CB"/>
    <w:rsid w:val="00C77D15"/>
    <w:rsid w:val="00C80B90"/>
    <w:rsid w:val="00C81A86"/>
    <w:rsid w:val="00C824D3"/>
    <w:rsid w:val="00C86136"/>
    <w:rsid w:val="00C869C4"/>
    <w:rsid w:val="00C87B56"/>
    <w:rsid w:val="00C92805"/>
    <w:rsid w:val="00C96F17"/>
    <w:rsid w:val="00C971C5"/>
    <w:rsid w:val="00C97382"/>
    <w:rsid w:val="00C97A7F"/>
    <w:rsid w:val="00CA1413"/>
    <w:rsid w:val="00CA2096"/>
    <w:rsid w:val="00CA2E00"/>
    <w:rsid w:val="00CB1789"/>
    <w:rsid w:val="00CC260C"/>
    <w:rsid w:val="00CC2924"/>
    <w:rsid w:val="00CC3392"/>
    <w:rsid w:val="00CC503C"/>
    <w:rsid w:val="00CD3CAB"/>
    <w:rsid w:val="00CD5942"/>
    <w:rsid w:val="00CD5A1F"/>
    <w:rsid w:val="00CE387A"/>
    <w:rsid w:val="00CE4821"/>
    <w:rsid w:val="00CE6B3B"/>
    <w:rsid w:val="00CF04D5"/>
    <w:rsid w:val="00CF4389"/>
    <w:rsid w:val="00D05362"/>
    <w:rsid w:val="00D10F37"/>
    <w:rsid w:val="00D17484"/>
    <w:rsid w:val="00D205AC"/>
    <w:rsid w:val="00D21A2C"/>
    <w:rsid w:val="00D2318E"/>
    <w:rsid w:val="00D24764"/>
    <w:rsid w:val="00D27BD2"/>
    <w:rsid w:val="00D30CDE"/>
    <w:rsid w:val="00D32657"/>
    <w:rsid w:val="00D33B5A"/>
    <w:rsid w:val="00D373F8"/>
    <w:rsid w:val="00D4054C"/>
    <w:rsid w:val="00D40822"/>
    <w:rsid w:val="00D45EF5"/>
    <w:rsid w:val="00D47335"/>
    <w:rsid w:val="00D47E50"/>
    <w:rsid w:val="00D515EB"/>
    <w:rsid w:val="00D51673"/>
    <w:rsid w:val="00D56E4D"/>
    <w:rsid w:val="00D62631"/>
    <w:rsid w:val="00D63463"/>
    <w:rsid w:val="00D726C2"/>
    <w:rsid w:val="00D72D53"/>
    <w:rsid w:val="00D743A8"/>
    <w:rsid w:val="00D75DC9"/>
    <w:rsid w:val="00D77718"/>
    <w:rsid w:val="00D812BD"/>
    <w:rsid w:val="00D8182F"/>
    <w:rsid w:val="00D84C85"/>
    <w:rsid w:val="00D91585"/>
    <w:rsid w:val="00D91670"/>
    <w:rsid w:val="00D93332"/>
    <w:rsid w:val="00D93769"/>
    <w:rsid w:val="00D94B94"/>
    <w:rsid w:val="00D95D08"/>
    <w:rsid w:val="00D96B2D"/>
    <w:rsid w:val="00DA48EB"/>
    <w:rsid w:val="00DA66A8"/>
    <w:rsid w:val="00DA70E3"/>
    <w:rsid w:val="00DB1916"/>
    <w:rsid w:val="00DB5F8F"/>
    <w:rsid w:val="00DC0924"/>
    <w:rsid w:val="00DC0979"/>
    <w:rsid w:val="00DC5036"/>
    <w:rsid w:val="00DC5FDA"/>
    <w:rsid w:val="00DC60F0"/>
    <w:rsid w:val="00DD78EC"/>
    <w:rsid w:val="00DE5547"/>
    <w:rsid w:val="00DE6624"/>
    <w:rsid w:val="00DE739C"/>
    <w:rsid w:val="00DF18B0"/>
    <w:rsid w:val="00DF3CB2"/>
    <w:rsid w:val="00DF791F"/>
    <w:rsid w:val="00E04336"/>
    <w:rsid w:val="00E057C8"/>
    <w:rsid w:val="00E05A87"/>
    <w:rsid w:val="00E05BEF"/>
    <w:rsid w:val="00E07417"/>
    <w:rsid w:val="00E07E3A"/>
    <w:rsid w:val="00E1000E"/>
    <w:rsid w:val="00E1052B"/>
    <w:rsid w:val="00E11EA2"/>
    <w:rsid w:val="00E130EE"/>
    <w:rsid w:val="00E13234"/>
    <w:rsid w:val="00E1382F"/>
    <w:rsid w:val="00E2103E"/>
    <w:rsid w:val="00E23865"/>
    <w:rsid w:val="00E25B29"/>
    <w:rsid w:val="00E27237"/>
    <w:rsid w:val="00E27417"/>
    <w:rsid w:val="00E313F3"/>
    <w:rsid w:val="00E31DF6"/>
    <w:rsid w:val="00E33A5F"/>
    <w:rsid w:val="00E34074"/>
    <w:rsid w:val="00E43658"/>
    <w:rsid w:val="00E44595"/>
    <w:rsid w:val="00E455A2"/>
    <w:rsid w:val="00E46734"/>
    <w:rsid w:val="00E47464"/>
    <w:rsid w:val="00E50F03"/>
    <w:rsid w:val="00E5379A"/>
    <w:rsid w:val="00E66D6E"/>
    <w:rsid w:val="00E741EF"/>
    <w:rsid w:val="00E77650"/>
    <w:rsid w:val="00E857A9"/>
    <w:rsid w:val="00E879D0"/>
    <w:rsid w:val="00E87B47"/>
    <w:rsid w:val="00E91307"/>
    <w:rsid w:val="00E946AA"/>
    <w:rsid w:val="00E970C1"/>
    <w:rsid w:val="00E97F29"/>
    <w:rsid w:val="00EA0C30"/>
    <w:rsid w:val="00EA67F0"/>
    <w:rsid w:val="00EA686D"/>
    <w:rsid w:val="00EB345A"/>
    <w:rsid w:val="00EB70EE"/>
    <w:rsid w:val="00EC017F"/>
    <w:rsid w:val="00EC0A4E"/>
    <w:rsid w:val="00EC23A9"/>
    <w:rsid w:val="00EC24FD"/>
    <w:rsid w:val="00EC69EF"/>
    <w:rsid w:val="00ED1F1F"/>
    <w:rsid w:val="00ED332A"/>
    <w:rsid w:val="00ED4068"/>
    <w:rsid w:val="00ED4200"/>
    <w:rsid w:val="00ED458B"/>
    <w:rsid w:val="00ED5B1A"/>
    <w:rsid w:val="00EE1B39"/>
    <w:rsid w:val="00EE2134"/>
    <w:rsid w:val="00EE7E46"/>
    <w:rsid w:val="00EF30D0"/>
    <w:rsid w:val="00EF55C4"/>
    <w:rsid w:val="00EF5ADF"/>
    <w:rsid w:val="00EF6ED2"/>
    <w:rsid w:val="00F01459"/>
    <w:rsid w:val="00F07018"/>
    <w:rsid w:val="00F076F9"/>
    <w:rsid w:val="00F114EA"/>
    <w:rsid w:val="00F152FC"/>
    <w:rsid w:val="00F1663C"/>
    <w:rsid w:val="00F204BF"/>
    <w:rsid w:val="00F209FC"/>
    <w:rsid w:val="00F2216F"/>
    <w:rsid w:val="00F23134"/>
    <w:rsid w:val="00F23EEB"/>
    <w:rsid w:val="00F23FAB"/>
    <w:rsid w:val="00F26208"/>
    <w:rsid w:val="00F269CA"/>
    <w:rsid w:val="00F33044"/>
    <w:rsid w:val="00F344F8"/>
    <w:rsid w:val="00F35310"/>
    <w:rsid w:val="00F35320"/>
    <w:rsid w:val="00F36D95"/>
    <w:rsid w:val="00F4009A"/>
    <w:rsid w:val="00F400A2"/>
    <w:rsid w:val="00F42341"/>
    <w:rsid w:val="00F42815"/>
    <w:rsid w:val="00F46C6E"/>
    <w:rsid w:val="00F473B5"/>
    <w:rsid w:val="00F51C65"/>
    <w:rsid w:val="00F60381"/>
    <w:rsid w:val="00F642A5"/>
    <w:rsid w:val="00F66276"/>
    <w:rsid w:val="00F67DE3"/>
    <w:rsid w:val="00F701A3"/>
    <w:rsid w:val="00F7054C"/>
    <w:rsid w:val="00F707CA"/>
    <w:rsid w:val="00F72108"/>
    <w:rsid w:val="00F72EA7"/>
    <w:rsid w:val="00F7319D"/>
    <w:rsid w:val="00F7572C"/>
    <w:rsid w:val="00F764E3"/>
    <w:rsid w:val="00F76843"/>
    <w:rsid w:val="00F76B59"/>
    <w:rsid w:val="00F777BB"/>
    <w:rsid w:val="00F77E17"/>
    <w:rsid w:val="00F80612"/>
    <w:rsid w:val="00F83ED4"/>
    <w:rsid w:val="00F8549E"/>
    <w:rsid w:val="00F87E99"/>
    <w:rsid w:val="00F92FF2"/>
    <w:rsid w:val="00F9371A"/>
    <w:rsid w:val="00F94BBA"/>
    <w:rsid w:val="00F96C31"/>
    <w:rsid w:val="00F974FE"/>
    <w:rsid w:val="00FA0015"/>
    <w:rsid w:val="00FA29A6"/>
    <w:rsid w:val="00FA3B13"/>
    <w:rsid w:val="00FA501C"/>
    <w:rsid w:val="00FA5E4D"/>
    <w:rsid w:val="00FA6D58"/>
    <w:rsid w:val="00FB0D09"/>
    <w:rsid w:val="00FB290D"/>
    <w:rsid w:val="00FB333B"/>
    <w:rsid w:val="00FB417B"/>
    <w:rsid w:val="00FB6267"/>
    <w:rsid w:val="00FB6871"/>
    <w:rsid w:val="00FB71FF"/>
    <w:rsid w:val="00FB78D2"/>
    <w:rsid w:val="00FC2417"/>
    <w:rsid w:val="00FC3958"/>
    <w:rsid w:val="00FC556D"/>
    <w:rsid w:val="00FC7518"/>
    <w:rsid w:val="00FD4096"/>
    <w:rsid w:val="00FD7BA1"/>
    <w:rsid w:val="00FE2784"/>
    <w:rsid w:val="00FE27DD"/>
    <w:rsid w:val="00FE72D9"/>
    <w:rsid w:val="00FF063C"/>
    <w:rsid w:val="00FF1662"/>
    <w:rsid w:val="00FF25FB"/>
    <w:rsid w:val="00FF4F6E"/>
    <w:rsid w:val="00FF5957"/>
    <w:rsid w:val="00FF5F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88054"/>
  <w15:docId w15:val="{7B526EBD-638F-423D-B6C0-5A1CD89D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4"/>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4"/>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4"/>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5"/>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82700"/>
    <w:pPr>
      <w:spacing w:before="100" w:beforeAutospacing="1" w:after="100" w:afterAutospacing="1"/>
    </w:pPr>
    <w:rPr>
      <w:rFonts w:ascii="Times New Roman" w:hAnsi="Times New Roman"/>
      <w:sz w:val="20"/>
    </w:rPr>
  </w:style>
  <w:style w:type="character" w:customStyle="1" w:styleId="apple-converted-space">
    <w:name w:val="apple-converted-space"/>
    <w:basedOn w:val="DefaultParagraphFont"/>
    <w:rsid w:val="00E857A9"/>
  </w:style>
  <w:style w:type="paragraph" w:styleId="TOCHeading">
    <w:name w:val="TOC Heading"/>
    <w:basedOn w:val="Heading1"/>
    <w:next w:val="Normal"/>
    <w:uiPriority w:val="39"/>
    <w:unhideWhenUsed/>
    <w:qFormat/>
    <w:rsid w:val="007B6836"/>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 w:type="table" w:customStyle="1" w:styleId="TableGrid1">
    <w:name w:val="Table Grid1"/>
    <w:basedOn w:val="TableNormal"/>
    <w:next w:val="TableGrid"/>
    <w:uiPriority w:val="59"/>
    <w:rsid w:val="0031731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30308392">
      <w:bodyDiv w:val="1"/>
      <w:marLeft w:val="0"/>
      <w:marRight w:val="0"/>
      <w:marTop w:val="0"/>
      <w:marBottom w:val="0"/>
      <w:divBdr>
        <w:top w:val="none" w:sz="0" w:space="0" w:color="auto"/>
        <w:left w:val="none" w:sz="0" w:space="0" w:color="auto"/>
        <w:bottom w:val="none" w:sz="0" w:space="0" w:color="auto"/>
        <w:right w:val="none" w:sz="0" w:space="0" w:color="auto"/>
      </w:divBdr>
      <w:divsChild>
        <w:div w:id="1559513874">
          <w:marLeft w:val="0"/>
          <w:marRight w:val="0"/>
          <w:marTop w:val="0"/>
          <w:marBottom w:val="0"/>
          <w:divBdr>
            <w:top w:val="none" w:sz="0" w:space="0" w:color="auto"/>
            <w:left w:val="none" w:sz="0" w:space="0" w:color="auto"/>
            <w:bottom w:val="none" w:sz="0" w:space="0" w:color="auto"/>
            <w:right w:val="none" w:sz="0" w:space="0" w:color="auto"/>
          </w:divBdr>
          <w:divsChild>
            <w:div w:id="1647200210">
              <w:marLeft w:val="0"/>
              <w:marRight w:val="0"/>
              <w:marTop w:val="0"/>
              <w:marBottom w:val="0"/>
              <w:divBdr>
                <w:top w:val="none" w:sz="0" w:space="0" w:color="auto"/>
                <w:left w:val="none" w:sz="0" w:space="0" w:color="auto"/>
                <w:bottom w:val="none" w:sz="0" w:space="0" w:color="auto"/>
                <w:right w:val="none" w:sz="0" w:space="0" w:color="auto"/>
              </w:divBdr>
              <w:divsChild>
                <w:div w:id="101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27490519">
      <w:bodyDiv w:val="1"/>
      <w:marLeft w:val="0"/>
      <w:marRight w:val="0"/>
      <w:marTop w:val="0"/>
      <w:marBottom w:val="0"/>
      <w:divBdr>
        <w:top w:val="none" w:sz="0" w:space="0" w:color="auto"/>
        <w:left w:val="none" w:sz="0" w:space="0" w:color="auto"/>
        <w:bottom w:val="none" w:sz="0" w:space="0" w:color="auto"/>
        <w:right w:val="none" w:sz="0" w:space="0" w:color="auto"/>
      </w:divBdr>
      <w:divsChild>
        <w:div w:id="778796655">
          <w:marLeft w:val="0"/>
          <w:marRight w:val="0"/>
          <w:marTop w:val="0"/>
          <w:marBottom w:val="0"/>
          <w:divBdr>
            <w:top w:val="none" w:sz="0" w:space="0" w:color="auto"/>
            <w:left w:val="none" w:sz="0" w:space="0" w:color="auto"/>
            <w:bottom w:val="none" w:sz="0" w:space="0" w:color="auto"/>
            <w:right w:val="none" w:sz="0" w:space="0" w:color="auto"/>
          </w:divBdr>
          <w:divsChild>
            <w:div w:id="571432504">
              <w:marLeft w:val="0"/>
              <w:marRight w:val="0"/>
              <w:marTop w:val="0"/>
              <w:marBottom w:val="0"/>
              <w:divBdr>
                <w:top w:val="none" w:sz="0" w:space="0" w:color="auto"/>
                <w:left w:val="none" w:sz="0" w:space="0" w:color="auto"/>
                <w:bottom w:val="none" w:sz="0" w:space="0" w:color="auto"/>
                <w:right w:val="none" w:sz="0" w:space="0" w:color="auto"/>
              </w:divBdr>
              <w:divsChild>
                <w:div w:id="1939092408">
                  <w:marLeft w:val="0"/>
                  <w:marRight w:val="0"/>
                  <w:marTop w:val="0"/>
                  <w:marBottom w:val="0"/>
                  <w:divBdr>
                    <w:top w:val="none" w:sz="0" w:space="0" w:color="auto"/>
                    <w:left w:val="none" w:sz="0" w:space="0" w:color="auto"/>
                    <w:bottom w:val="none" w:sz="0" w:space="0" w:color="auto"/>
                    <w:right w:val="none" w:sz="0" w:space="0" w:color="auto"/>
                  </w:divBdr>
                  <w:divsChild>
                    <w:div w:id="17344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8237">
      <w:bodyDiv w:val="1"/>
      <w:marLeft w:val="0"/>
      <w:marRight w:val="0"/>
      <w:marTop w:val="0"/>
      <w:marBottom w:val="0"/>
      <w:divBdr>
        <w:top w:val="none" w:sz="0" w:space="0" w:color="auto"/>
        <w:left w:val="none" w:sz="0" w:space="0" w:color="auto"/>
        <w:bottom w:val="none" w:sz="0" w:space="0" w:color="auto"/>
        <w:right w:val="none" w:sz="0" w:space="0" w:color="auto"/>
      </w:divBdr>
      <w:divsChild>
        <w:div w:id="1758668543">
          <w:marLeft w:val="0"/>
          <w:marRight w:val="0"/>
          <w:marTop w:val="0"/>
          <w:marBottom w:val="0"/>
          <w:divBdr>
            <w:top w:val="none" w:sz="0" w:space="0" w:color="auto"/>
            <w:left w:val="none" w:sz="0" w:space="0" w:color="auto"/>
            <w:bottom w:val="none" w:sz="0" w:space="0" w:color="auto"/>
            <w:right w:val="none" w:sz="0" w:space="0" w:color="auto"/>
          </w:divBdr>
          <w:divsChild>
            <w:div w:id="319427872">
              <w:marLeft w:val="0"/>
              <w:marRight w:val="0"/>
              <w:marTop w:val="0"/>
              <w:marBottom w:val="0"/>
              <w:divBdr>
                <w:top w:val="none" w:sz="0" w:space="0" w:color="auto"/>
                <w:left w:val="none" w:sz="0" w:space="0" w:color="auto"/>
                <w:bottom w:val="none" w:sz="0" w:space="0" w:color="auto"/>
                <w:right w:val="none" w:sz="0" w:space="0" w:color="auto"/>
              </w:divBdr>
              <w:divsChild>
                <w:div w:id="12804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379983126">
      <w:bodyDiv w:val="1"/>
      <w:marLeft w:val="0"/>
      <w:marRight w:val="0"/>
      <w:marTop w:val="0"/>
      <w:marBottom w:val="0"/>
      <w:divBdr>
        <w:top w:val="none" w:sz="0" w:space="0" w:color="auto"/>
        <w:left w:val="none" w:sz="0" w:space="0" w:color="auto"/>
        <w:bottom w:val="none" w:sz="0" w:space="0" w:color="auto"/>
        <w:right w:val="none" w:sz="0" w:space="0" w:color="auto"/>
      </w:divBdr>
    </w:div>
    <w:div w:id="383334930">
      <w:bodyDiv w:val="1"/>
      <w:marLeft w:val="0"/>
      <w:marRight w:val="0"/>
      <w:marTop w:val="0"/>
      <w:marBottom w:val="0"/>
      <w:divBdr>
        <w:top w:val="none" w:sz="0" w:space="0" w:color="auto"/>
        <w:left w:val="none" w:sz="0" w:space="0" w:color="auto"/>
        <w:bottom w:val="none" w:sz="0" w:space="0" w:color="auto"/>
        <w:right w:val="none" w:sz="0" w:space="0" w:color="auto"/>
      </w:divBdr>
      <w:divsChild>
        <w:div w:id="1801802872">
          <w:marLeft w:val="0"/>
          <w:marRight w:val="0"/>
          <w:marTop w:val="0"/>
          <w:marBottom w:val="0"/>
          <w:divBdr>
            <w:top w:val="none" w:sz="0" w:space="0" w:color="auto"/>
            <w:left w:val="none" w:sz="0" w:space="0" w:color="auto"/>
            <w:bottom w:val="none" w:sz="0" w:space="0" w:color="auto"/>
            <w:right w:val="none" w:sz="0" w:space="0" w:color="auto"/>
          </w:divBdr>
          <w:divsChild>
            <w:div w:id="1288662320">
              <w:marLeft w:val="0"/>
              <w:marRight w:val="0"/>
              <w:marTop w:val="0"/>
              <w:marBottom w:val="0"/>
              <w:divBdr>
                <w:top w:val="none" w:sz="0" w:space="0" w:color="auto"/>
                <w:left w:val="none" w:sz="0" w:space="0" w:color="auto"/>
                <w:bottom w:val="none" w:sz="0" w:space="0" w:color="auto"/>
                <w:right w:val="none" w:sz="0" w:space="0" w:color="auto"/>
              </w:divBdr>
              <w:divsChild>
                <w:div w:id="424300905">
                  <w:marLeft w:val="0"/>
                  <w:marRight w:val="0"/>
                  <w:marTop w:val="0"/>
                  <w:marBottom w:val="0"/>
                  <w:divBdr>
                    <w:top w:val="none" w:sz="0" w:space="0" w:color="auto"/>
                    <w:left w:val="none" w:sz="0" w:space="0" w:color="auto"/>
                    <w:bottom w:val="none" w:sz="0" w:space="0" w:color="auto"/>
                    <w:right w:val="none" w:sz="0" w:space="0" w:color="auto"/>
                  </w:divBdr>
                  <w:divsChild>
                    <w:div w:id="6469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9714">
      <w:bodyDiv w:val="1"/>
      <w:marLeft w:val="0"/>
      <w:marRight w:val="0"/>
      <w:marTop w:val="0"/>
      <w:marBottom w:val="0"/>
      <w:divBdr>
        <w:top w:val="none" w:sz="0" w:space="0" w:color="auto"/>
        <w:left w:val="none" w:sz="0" w:space="0" w:color="auto"/>
        <w:bottom w:val="none" w:sz="0" w:space="0" w:color="auto"/>
        <w:right w:val="none" w:sz="0" w:space="0" w:color="auto"/>
      </w:divBdr>
      <w:divsChild>
        <w:div w:id="1405835404">
          <w:marLeft w:val="0"/>
          <w:marRight w:val="0"/>
          <w:marTop w:val="0"/>
          <w:marBottom w:val="0"/>
          <w:divBdr>
            <w:top w:val="none" w:sz="0" w:space="0" w:color="auto"/>
            <w:left w:val="none" w:sz="0" w:space="0" w:color="auto"/>
            <w:bottom w:val="none" w:sz="0" w:space="0" w:color="auto"/>
            <w:right w:val="none" w:sz="0" w:space="0" w:color="auto"/>
          </w:divBdr>
          <w:divsChild>
            <w:div w:id="308019402">
              <w:marLeft w:val="0"/>
              <w:marRight w:val="0"/>
              <w:marTop w:val="0"/>
              <w:marBottom w:val="0"/>
              <w:divBdr>
                <w:top w:val="none" w:sz="0" w:space="0" w:color="auto"/>
                <w:left w:val="none" w:sz="0" w:space="0" w:color="auto"/>
                <w:bottom w:val="none" w:sz="0" w:space="0" w:color="auto"/>
                <w:right w:val="none" w:sz="0" w:space="0" w:color="auto"/>
              </w:divBdr>
              <w:divsChild>
                <w:div w:id="687486693">
                  <w:marLeft w:val="0"/>
                  <w:marRight w:val="0"/>
                  <w:marTop w:val="0"/>
                  <w:marBottom w:val="0"/>
                  <w:divBdr>
                    <w:top w:val="none" w:sz="0" w:space="0" w:color="auto"/>
                    <w:left w:val="none" w:sz="0" w:space="0" w:color="auto"/>
                    <w:bottom w:val="none" w:sz="0" w:space="0" w:color="auto"/>
                    <w:right w:val="none" w:sz="0" w:space="0" w:color="auto"/>
                  </w:divBdr>
                  <w:divsChild>
                    <w:div w:id="17109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43537">
      <w:bodyDiv w:val="1"/>
      <w:marLeft w:val="0"/>
      <w:marRight w:val="0"/>
      <w:marTop w:val="0"/>
      <w:marBottom w:val="0"/>
      <w:divBdr>
        <w:top w:val="none" w:sz="0" w:space="0" w:color="auto"/>
        <w:left w:val="none" w:sz="0" w:space="0" w:color="auto"/>
        <w:bottom w:val="none" w:sz="0" w:space="0" w:color="auto"/>
        <w:right w:val="none" w:sz="0" w:space="0" w:color="auto"/>
      </w:divBdr>
      <w:divsChild>
        <w:div w:id="400517658">
          <w:marLeft w:val="0"/>
          <w:marRight w:val="0"/>
          <w:marTop w:val="0"/>
          <w:marBottom w:val="0"/>
          <w:divBdr>
            <w:top w:val="none" w:sz="0" w:space="0" w:color="auto"/>
            <w:left w:val="none" w:sz="0" w:space="0" w:color="auto"/>
            <w:bottom w:val="none" w:sz="0" w:space="0" w:color="auto"/>
            <w:right w:val="none" w:sz="0" w:space="0" w:color="auto"/>
          </w:divBdr>
          <w:divsChild>
            <w:div w:id="374699027">
              <w:marLeft w:val="0"/>
              <w:marRight w:val="0"/>
              <w:marTop w:val="0"/>
              <w:marBottom w:val="0"/>
              <w:divBdr>
                <w:top w:val="none" w:sz="0" w:space="0" w:color="auto"/>
                <w:left w:val="none" w:sz="0" w:space="0" w:color="auto"/>
                <w:bottom w:val="none" w:sz="0" w:space="0" w:color="auto"/>
                <w:right w:val="none" w:sz="0" w:space="0" w:color="auto"/>
              </w:divBdr>
              <w:divsChild>
                <w:div w:id="1429079294">
                  <w:marLeft w:val="0"/>
                  <w:marRight w:val="0"/>
                  <w:marTop w:val="0"/>
                  <w:marBottom w:val="0"/>
                  <w:divBdr>
                    <w:top w:val="none" w:sz="0" w:space="0" w:color="auto"/>
                    <w:left w:val="none" w:sz="0" w:space="0" w:color="auto"/>
                    <w:bottom w:val="none" w:sz="0" w:space="0" w:color="auto"/>
                    <w:right w:val="none" w:sz="0" w:space="0" w:color="auto"/>
                  </w:divBdr>
                  <w:divsChild>
                    <w:div w:id="866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95827">
      <w:bodyDiv w:val="1"/>
      <w:marLeft w:val="0"/>
      <w:marRight w:val="0"/>
      <w:marTop w:val="0"/>
      <w:marBottom w:val="0"/>
      <w:divBdr>
        <w:top w:val="none" w:sz="0" w:space="0" w:color="auto"/>
        <w:left w:val="none" w:sz="0" w:space="0" w:color="auto"/>
        <w:bottom w:val="none" w:sz="0" w:space="0" w:color="auto"/>
        <w:right w:val="none" w:sz="0" w:space="0" w:color="auto"/>
      </w:divBdr>
      <w:divsChild>
        <w:div w:id="1457067350">
          <w:marLeft w:val="0"/>
          <w:marRight w:val="0"/>
          <w:marTop w:val="0"/>
          <w:marBottom w:val="0"/>
          <w:divBdr>
            <w:top w:val="none" w:sz="0" w:space="0" w:color="auto"/>
            <w:left w:val="none" w:sz="0" w:space="0" w:color="auto"/>
            <w:bottom w:val="none" w:sz="0" w:space="0" w:color="auto"/>
            <w:right w:val="none" w:sz="0" w:space="0" w:color="auto"/>
          </w:divBdr>
          <w:divsChild>
            <w:div w:id="563369649">
              <w:marLeft w:val="0"/>
              <w:marRight w:val="0"/>
              <w:marTop w:val="0"/>
              <w:marBottom w:val="0"/>
              <w:divBdr>
                <w:top w:val="none" w:sz="0" w:space="0" w:color="auto"/>
                <w:left w:val="none" w:sz="0" w:space="0" w:color="auto"/>
                <w:bottom w:val="none" w:sz="0" w:space="0" w:color="auto"/>
                <w:right w:val="none" w:sz="0" w:space="0" w:color="auto"/>
              </w:divBdr>
              <w:divsChild>
                <w:div w:id="1574467009">
                  <w:marLeft w:val="0"/>
                  <w:marRight w:val="0"/>
                  <w:marTop w:val="0"/>
                  <w:marBottom w:val="0"/>
                  <w:divBdr>
                    <w:top w:val="none" w:sz="0" w:space="0" w:color="auto"/>
                    <w:left w:val="none" w:sz="0" w:space="0" w:color="auto"/>
                    <w:bottom w:val="none" w:sz="0" w:space="0" w:color="auto"/>
                    <w:right w:val="none" w:sz="0" w:space="0" w:color="auto"/>
                  </w:divBdr>
                  <w:divsChild>
                    <w:div w:id="2080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4398">
      <w:bodyDiv w:val="1"/>
      <w:marLeft w:val="0"/>
      <w:marRight w:val="0"/>
      <w:marTop w:val="0"/>
      <w:marBottom w:val="0"/>
      <w:divBdr>
        <w:top w:val="none" w:sz="0" w:space="0" w:color="auto"/>
        <w:left w:val="none" w:sz="0" w:space="0" w:color="auto"/>
        <w:bottom w:val="none" w:sz="0" w:space="0" w:color="auto"/>
        <w:right w:val="none" w:sz="0" w:space="0" w:color="auto"/>
      </w:divBdr>
      <w:divsChild>
        <w:div w:id="333920945">
          <w:marLeft w:val="0"/>
          <w:marRight w:val="0"/>
          <w:marTop w:val="0"/>
          <w:marBottom w:val="0"/>
          <w:divBdr>
            <w:top w:val="none" w:sz="0" w:space="0" w:color="auto"/>
            <w:left w:val="none" w:sz="0" w:space="0" w:color="auto"/>
            <w:bottom w:val="none" w:sz="0" w:space="0" w:color="auto"/>
            <w:right w:val="none" w:sz="0" w:space="0" w:color="auto"/>
          </w:divBdr>
          <w:divsChild>
            <w:div w:id="422067288">
              <w:marLeft w:val="0"/>
              <w:marRight w:val="0"/>
              <w:marTop w:val="0"/>
              <w:marBottom w:val="0"/>
              <w:divBdr>
                <w:top w:val="none" w:sz="0" w:space="0" w:color="auto"/>
                <w:left w:val="none" w:sz="0" w:space="0" w:color="auto"/>
                <w:bottom w:val="none" w:sz="0" w:space="0" w:color="auto"/>
                <w:right w:val="none" w:sz="0" w:space="0" w:color="auto"/>
              </w:divBdr>
              <w:divsChild>
                <w:div w:id="1841769969">
                  <w:marLeft w:val="0"/>
                  <w:marRight w:val="0"/>
                  <w:marTop w:val="0"/>
                  <w:marBottom w:val="0"/>
                  <w:divBdr>
                    <w:top w:val="none" w:sz="0" w:space="0" w:color="auto"/>
                    <w:left w:val="none" w:sz="0" w:space="0" w:color="auto"/>
                    <w:bottom w:val="none" w:sz="0" w:space="0" w:color="auto"/>
                    <w:right w:val="none" w:sz="0" w:space="0" w:color="auto"/>
                  </w:divBdr>
                  <w:divsChild>
                    <w:div w:id="15167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05811">
      <w:bodyDiv w:val="1"/>
      <w:marLeft w:val="0"/>
      <w:marRight w:val="0"/>
      <w:marTop w:val="0"/>
      <w:marBottom w:val="0"/>
      <w:divBdr>
        <w:top w:val="none" w:sz="0" w:space="0" w:color="auto"/>
        <w:left w:val="none" w:sz="0" w:space="0" w:color="auto"/>
        <w:bottom w:val="none" w:sz="0" w:space="0" w:color="auto"/>
        <w:right w:val="none" w:sz="0" w:space="0" w:color="auto"/>
      </w:divBdr>
      <w:divsChild>
        <w:div w:id="965282567">
          <w:marLeft w:val="0"/>
          <w:marRight w:val="0"/>
          <w:marTop w:val="0"/>
          <w:marBottom w:val="0"/>
          <w:divBdr>
            <w:top w:val="none" w:sz="0" w:space="0" w:color="auto"/>
            <w:left w:val="none" w:sz="0" w:space="0" w:color="auto"/>
            <w:bottom w:val="none" w:sz="0" w:space="0" w:color="auto"/>
            <w:right w:val="none" w:sz="0" w:space="0" w:color="auto"/>
          </w:divBdr>
          <w:divsChild>
            <w:div w:id="1618484628">
              <w:marLeft w:val="0"/>
              <w:marRight w:val="0"/>
              <w:marTop w:val="0"/>
              <w:marBottom w:val="0"/>
              <w:divBdr>
                <w:top w:val="none" w:sz="0" w:space="0" w:color="auto"/>
                <w:left w:val="none" w:sz="0" w:space="0" w:color="auto"/>
                <w:bottom w:val="none" w:sz="0" w:space="0" w:color="auto"/>
                <w:right w:val="none" w:sz="0" w:space="0" w:color="auto"/>
              </w:divBdr>
              <w:divsChild>
                <w:div w:id="20450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612442546">
      <w:bodyDiv w:val="1"/>
      <w:marLeft w:val="0"/>
      <w:marRight w:val="0"/>
      <w:marTop w:val="0"/>
      <w:marBottom w:val="0"/>
      <w:divBdr>
        <w:top w:val="none" w:sz="0" w:space="0" w:color="auto"/>
        <w:left w:val="none" w:sz="0" w:space="0" w:color="auto"/>
        <w:bottom w:val="none" w:sz="0" w:space="0" w:color="auto"/>
        <w:right w:val="none" w:sz="0" w:space="0" w:color="auto"/>
      </w:divBdr>
      <w:divsChild>
        <w:div w:id="1984306726">
          <w:marLeft w:val="0"/>
          <w:marRight w:val="0"/>
          <w:marTop w:val="0"/>
          <w:marBottom w:val="0"/>
          <w:divBdr>
            <w:top w:val="none" w:sz="0" w:space="0" w:color="auto"/>
            <w:left w:val="none" w:sz="0" w:space="0" w:color="auto"/>
            <w:bottom w:val="none" w:sz="0" w:space="0" w:color="auto"/>
            <w:right w:val="none" w:sz="0" w:space="0" w:color="auto"/>
          </w:divBdr>
          <w:divsChild>
            <w:div w:id="940795457">
              <w:marLeft w:val="0"/>
              <w:marRight w:val="0"/>
              <w:marTop w:val="0"/>
              <w:marBottom w:val="0"/>
              <w:divBdr>
                <w:top w:val="none" w:sz="0" w:space="0" w:color="auto"/>
                <w:left w:val="none" w:sz="0" w:space="0" w:color="auto"/>
                <w:bottom w:val="none" w:sz="0" w:space="0" w:color="auto"/>
                <w:right w:val="none" w:sz="0" w:space="0" w:color="auto"/>
              </w:divBdr>
              <w:divsChild>
                <w:div w:id="1132021069">
                  <w:marLeft w:val="0"/>
                  <w:marRight w:val="0"/>
                  <w:marTop w:val="0"/>
                  <w:marBottom w:val="0"/>
                  <w:divBdr>
                    <w:top w:val="none" w:sz="0" w:space="0" w:color="auto"/>
                    <w:left w:val="none" w:sz="0" w:space="0" w:color="auto"/>
                    <w:bottom w:val="none" w:sz="0" w:space="0" w:color="auto"/>
                    <w:right w:val="none" w:sz="0" w:space="0" w:color="auto"/>
                  </w:divBdr>
                  <w:divsChild>
                    <w:div w:id="9048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6055">
      <w:bodyDiv w:val="1"/>
      <w:marLeft w:val="0"/>
      <w:marRight w:val="0"/>
      <w:marTop w:val="0"/>
      <w:marBottom w:val="0"/>
      <w:divBdr>
        <w:top w:val="none" w:sz="0" w:space="0" w:color="auto"/>
        <w:left w:val="none" w:sz="0" w:space="0" w:color="auto"/>
        <w:bottom w:val="none" w:sz="0" w:space="0" w:color="auto"/>
        <w:right w:val="none" w:sz="0" w:space="0" w:color="auto"/>
      </w:divBdr>
      <w:divsChild>
        <w:div w:id="790519302">
          <w:marLeft w:val="0"/>
          <w:marRight w:val="0"/>
          <w:marTop w:val="0"/>
          <w:marBottom w:val="0"/>
          <w:divBdr>
            <w:top w:val="none" w:sz="0" w:space="0" w:color="auto"/>
            <w:left w:val="none" w:sz="0" w:space="0" w:color="auto"/>
            <w:bottom w:val="none" w:sz="0" w:space="0" w:color="auto"/>
            <w:right w:val="none" w:sz="0" w:space="0" w:color="auto"/>
          </w:divBdr>
          <w:divsChild>
            <w:div w:id="330498122">
              <w:marLeft w:val="0"/>
              <w:marRight w:val="0"/>
              <w:marTop w:val="0"/>
              <w:marBottom w:val="0"/>
              <w:divBdr>
                <w:top w:val="none" w:sz="0" w:space="0" w:color="auto"/>
                <w:left w:val="none" w:sz="0" w:space="0" w:color="auto"/>
                <w:bottom w:val="none" w:sz="0" w:space="0" w:color="auto"/>
                <w:right w:val="none" w:sz="0" w:space="0" w:color="auto"/>
              </w:divBdr>
              <w:divsChild>
                <w:div w:id="521355939">
                  <w:marLeft w:val="0"/>
                  <w:marRight w:val="0"/>
                  <w:marTop w:val="0"/>
                  <w:marBottom w:val="0"/>
                  <w:divBdr>
                    <w:top w:val="none" w:sz="0" w:space="0" w:color="auto"/>
                    <w:left w:val="none" w:sz="0" w:space="0" w:color="auto"/>
                    <w:bottom w:val="none" w:sz="0" w:space="0" w:color="auto"/>
                    <w:right w:val="none" w:sz="0" w:space="0" w:color="auto"/>
                  </w:divBdr>
                  <w:divsChild>
                    <w:div w:id="15644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416">
      <w:bodyDiv w:val="1"/>
      <w:marLeft w:val="0"/>
      <w:marRight w:val="0"/>
      <w:marTop w:val="0"/>
      <w:marBottom w:val="0"/>
      <w:divBdr>
        <w:top w:val="none" w:sz="0" w:space="0" w:color="auto"/>
        <w:left w:val="none" w:sz="0" w:space="0" w:color="auto"/>
        <w:bottom w:val="none" w:sz="0" w:space="0" w:color="auto"/>
        <w:right w:val="none" w:sz="0" w:space="0" w:color="auto"/>
      </w:divBdr>
      <w:divsChild>
        <w:div w:id="1608535754">
          <w:marLeft w:val="0"/>
          <w:marRight w:val="0"/>
          <w:marTop w:val="0"/>
          <w:marBottom w:val="0"/>
          <w:divBdr>
            <w:top w:val="none" w:sz="0" w:space="0" w:color="auto"/>
            <w:left w:val="none" w:sz="0" w:space="0" w:color="auto"/>
            <w:bottom w:val="none" w:sz="0" w:space="0" w:color="auto"/>
            <w:right w:val="none" w:sz="0" w:space="0" w:color="auto"/>
          </w:divBdr>
          <w:divsChild>
            <w:div w:id="1454442465">
              <w:marLeft w:val="0"/>
              <w:marRight w:val="0"/>
              <w:marTop w:val="0"/>
              <w:marBottom w:val="0"/>
              <w:divBdr>
                <w:top w:val="none" w:sz="0" w:space="0" w:color="auto"/>
                <w:left w:val="none" w:sz="0" w:space="0" w:color="auto"/>
                <w:bottom w:val="none" w:sz="0" w:space="0" w:color="auto"/>
                <w:right w:val="none" w:sz="0" w:space="0" w:color="auto"/>
              </w:divBdr>
              <w:divsChild>
                <w:div w:id="2079815027">
                  <w:marLeft w:val="0"/>
                  <w:marRight w:val="0"/>
                  <w:marTop w:val="0"/>
                  <w:marBottom w:val="0"/>
                  <w:divBdr>
                    <w:top w:val="none" w:sz="0" w:space="0" w:color="auto"/>
                    <w:left w:val="none" w:sz="0" w:space="0" w:color="auto"/>
                    <w:bottom w:val="none" w:sz="0" w:space="0" w:color="auto"/>
                    <w:right w:val="none" w:sz="0" w:space="0" w:color="auto"/>
                  </w:divBdr>
                  <w:divsChild>
                    <w:div w:id="913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07878323">
      <w:bodyDiv w:val="1"/>
      <w:marLeft w:val="0"/>
      <w:marRight w:val="0"/>
      <w:marTop w:val="0"/>
      <w:marBottom w:val="0"/>
      <w:divBdr>
        <w:top w:val="none" w:sz="0" w:space="0" w:color="auto"/>
        <w:left w:val="none" w:sz="0" w:space="0" w:color="auto"/>
        <w:bottom w:val="none" w:sz="0" w:space="0" w:color="auto"/>
        <w:right w:val="none" w:sz="0" w:space="0" w:color="auto"/>
      </w:divBdr>
      <w:divsChild>
        <w:div w:id="1007243998">
          <w:marLeft w:val="0"/>
          <w:marRight w:val="0"/>
          <w:marTop w:val="0"/>
          <w:marBottom w:val="0"/>
          <w:divBdr>
            <w:top w:val="none" w:sz="0" w:space="0" w:color="auto"/>
            <w:left w:val="none" w:sz="0" w:space="0" w:color="auto"/>
            <w:bottom w:val="none" w:sz="0" w:space="0" w:color="auto"/>
            <w:right w:val="none" w:sz="0" w:space="0" w:color="auto"/>
          </w:divBdr>
          <w:divsChild>
            <w:div w:id="205146716">
              <w:marLeft w:val="0"/>
              <w:marRight w:val="0"/>
              <w:marTop w:val="0"/>
              <w:marBottom w:val="0"/>
              <w:divBdr>
                <w:top w:val="none" w:sz="0" w:space="0" w:color="auto"/>
                <w:left w:val="none" w:sz="0" w:space="0" w:color="auto"/>
                <w:bottom w:val="none" w:sz="0" w:space="0" w:color="auto"/>
                <w:right w:val="none" w:sz="0" w:space="0" w:color="auto"/>
              </w:divBdr>
              <w:divsChild>
                <w:div w:id="13477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sChild>
        <w:div w:id="931015174">
          <w:marLeft w:val="0"/>
          <w:marRight w:val="0"/>
          <w:marTop w:val="0"/>
          <w:marBottom w:val="0"/>
          <w:divBdr>
            <w:top w:val="none" w:sz="0" w:space="0" w:color="auto"/>
            <w:left w:val="none" w:sz="0" w:space="0" w:color="auto"/>
            <w:bottom w:val="none" w:sz="0" w:space="0" w:color="auto"/>
            <w:right w:val="none" w:sz="0" w:space="0" w:color="auto"/>
          </w:divBdr>
          <w:divsChild>
            <w:div w:id="942609080">
              <w:marLeft w:val="0"/>
              <w:marRight w:val="0"/>
              <w:marTop w:val="0"/>
              <w:marBottom w:val="0"/>
              <w:divBdr>
                <w:top w:val="none" w:sz="0" w:space="0" w:color="auto"/>
                <w:left w:val="none" w:sz="0" w:space="0" w:color="auto"/>
                <w:bottom w:val="none" w:sz="0" w:space="0" w:color="auto"/>
                <w:right w:val="none" w:sz="0" w:space="0" w:color="auto"/>
              </w:divBdr>
              <w:divsChild>
                <w:div w:id="9679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28060457">
      <w:bodyDiv w:val="1"/>
      <w:marLeft w:val="0"/>
      <w:marRight w:val="0"/>
      <w:marTop w:val="0"/>
      <w:marBottom w:val="0"/>
      <w:divBdr>
        <w:top w:val="none" w:sz="0" w:space="0" w:color="auto"/>
        <w:left w:val="none" w:sz="0" w:space="0" w:color="auto"/>
        <w:bottom w:val="none" w:sz="0" w:space="0" w:color="auto"/>
        <w:right w:val="none" w:sz="0" w:space="0" w:color="auto"/>
      </w:divBdr>
      <w:divsChild>
        <w:div w:id="289629913">
          <w:marLeft w:val="0"/>
          <w:marRight w:val="0"/>
          <w:marTop w:val="0"/>
          <w:marBottom w:val="0"/>
          <w:divBdr>
            <w:top w:val="none" w:sz="0" w:space="0" w:color="auto"/>
            <w:left w:val="none" w:sz="0" w:space="0" w:color="auto"/>
            <w:bottom w:val="none" w:sz="0" w:space="0" w:color="auto"/>
            <w:right w:val="none" w:sz="0" w:space="0" w:color="auto"/>
          </w:divBdr>
          <w:divsChild>
            <w:div w:id="1140458333">
              <w:marLeft w:val="0"/>
              <w:marRight w:val="0"/>
              <w:marTop w:val="0"/>
              <w:marBottom w:val="0"/>
              <w:divBdr>
                <w:top w:val="none" w:sz="0" w:space="0" w:color="auto"/>
                <w:left w:val="none" w:sz="0" w:space="0" w:color="auto"/>
                <w:bottom w:val="none" w:sz="0" w:space="0" w:color="auto"/>
                <w:right w:val="none" w:sz="0" w:space="0" w:color="auto"/>
              </w:divBdr>
              <w:divsChild>
                <w:div w:id="3397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905341180">
      <w:bodyDiv w:val="1"/>
      <w:marLeft w:val="0"/>
      <w:marRight w:val="0"/>
      <w:marTop w:val="0"/>
      <w:marBottom w:val="0"/>
      <w:divBdr>
        <w:top w:val="none" w:sz="0" w:space="0" w:color="auto"/>
        <w:left w:val="none" w:sz="0" w:space="0" w:color="auto"/>
        <w:bottom w:val="none" w:sz="0" w:space="0" w:color="auto"/>
        <w:right w:val="none" w:sz="0" w:space="0" w:color="auto"/>
      </w:divBdr>
      <w:divsChild>
        <w:div w:id="859900787">
          <w:marLeft w:val="0"/>
          <w:marRight w:val="0"/>
          <w:marTop w:val="0"/>
          <w:marBottom w:val="0"/>
          <w:divBdr>
            <w:top w:val="none" w:sz="0" w:space="0" w:color="auto"/>
            <w:left w:val="none" w:sz="0" w:space="0" w:color="auto"/>
            <w:bottom w:val="none" w:sz="0" w:space="0" w:color="auto"/>
            <w:right w:val="none" w:sz="0" w:space="0" w:color="auto"/>
          </w:divBdr>
          <w:divsChild>
            <w:div w:id="1759788541">
              <w:marLeft w:val="0"/>
              <w:marRight w:val="0"/>
              <w:marTop w:val="0"/>
              <w:marBottom w:val="0"/>
              <w:divBdr>
                <w:top w:val="none" w:sz="0" w:space="0" w:color="auto"/>
                <w:left w:val="none" w:sz="0" w:space="0" w:color="auto"/>
                <w:bottom w:val="none" w:sz="0" w:space="0" w:color="auto"/>
                <w:right w:val="none" w:sz="0" w:space="0" w:color="auto"/>
              </w:divBdr>
              <w:divsChild>
                <w:div w:id="813059587">
                  <w:marLeft w:val="0"/>
                  <w:marRight w:val="0"/>
                  <w:marTop w:val="0"/>
                  <w:marBottom w:val="0"/>
                  <w:divBdr>
                    <w:top w:val="none" w:sz="0" w:space="0" w:color="auto"/>
                    <w:left w:val="none" w:sz="0" w:space="0" w:color="auto"/>
                    <w:bottom w:val="none" w:sz="0" w:space="0" w:color="auto"/>
                    <w:right w:val="none" w:sz="0" w:space="0" w:color="auto"/>
                  </w:divBdr>
                  <w:divsChild>
                    <w:div w:id="9393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6961">
      <w:bodyDiv w:val="1"/>
      <w:marLeft w:val="0"/>
      <w:marRight w:val="0"/>
      <w:marTop w:val="0"/>
      <w:marBottom w:val="0"/>
      <w:divBdr>
        <w:top w:val="none" w:sz="0" w:space="0" w:color="auto"/>
        <w:left w:val="none" w:sz="0" w:space="0" w:color="auto"/>
        <w:bottom w:val="none" w:sz="0" w:space="0" w:color="auto"/>
        <w:right w:val="none" w:sz="0" w:space="0" w:color="auto"/>
      </w:divBdr>
      <w:divsChild>
        <w:div w:id="2035186578">
          <w:marLeft w:val="0"/>
          <w:marRight w:val="0"/>
          <w:marTop w:val="0"/>
          <w:marBottom w:val="0"/>
          <w:divBdr>
            <w:top w:val="none" w:sz="0" w:space="0" w:color="auto"/>
            <w:left w:val="none" w:sz="0" w:space="0" w:color="auto"/>
            <w:bottom w:val="none" w:sz="0" w:space="0" w:color="auto"/>
            <w:right w:val="none" w:sz="0" w:space="0" w:color="auto"/>
          </w:divBdr>
          <w:divsChild>
            <w:div w:id="461536401">
              <w:marLeft w:val="0"/>
              <w:marRight w:val="0"/>
              <w:marTop w:val="0"/>
              <w:marBottom w:val="0"/>
              <w:divBdr>
                <w:top w:val="none" w:sz="0" w:space="0" w:color="auto"/>
                <w:left w:val="none" w:sz="0" w:space="0" w:color="auto"/>
                <w:bottom w:val="none" w:sz="0" w:space="0" w:color="auto"/>
                <w:right w:val="none" w:sz="0" w:space="0" w:color="auto"/>
              </w:divBdr>
              <w:divsChild>
                <w:div w:id="3839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091006040">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20241439">
      <w:bodyDiv w:val="1"/>
      <w:marLeft w:val="0"/>
      <w:marRight w:val="0"/>
      <w:marTop w:val="0"/>
      <w:marBottom w:val="0"/>
      <w:divBdr>
        <w:top w:val="none" w:sz="0" w:space="0" w:color="auto"/>
        <w:left w:val="none" w:sz="0" w:space="0" w:color="auto"/>
        <w:bottom w:val="none" w:sz="0" w:space="0" w:color="auto"/>
        <w:right w:val="none" w:sz="0" w:space="0" w:color="auto"/>
      </w:divBdr>
      <w:divsChild>
        <w:div w:id="1107190206">
          <w:marLeft w:val="0"/>
          <w:marRight w:val="0"/>
          <w:marTop w:val="0"/>
          <w:marBottom w:val="0"/>
          <w:divBdr>
            <w:top w:val="none" w:sz="0" w:space="0" w:color="auto"/>
            <w:left w:val="none" w:sz="0" w:space="0" w:color="auto"/>
            <w:bottom w:val="none" w:sz="0" w:space="0" w:color="auto"/>
            <w:right w:val="none" w:sz="0" w:space="0" w:color="auto"/>
          </w:divBdr>
          <w:divsChild>
            <w:div w:id="833836563">
              <w:marLeft w:val="0"/>
              <w:marRight w:val="0"/>
              <w:marTop w:val="0"/>
              <w:marBottom w:val="0"/>
              <w:divBdr>
                <w:top w:val="none" w:sz="0" w:space="0" w:color="auto"/>
                <w:left w:val="none" w:sz="0" w:space="0" w:color="auto"/>
                <w:bottom w:val="none" w:sz="0" w:space="0" w:color="auto"/>
                <w:right w:val="none" w:sz="0" w:space="0" w:color="auto"/>
              </w:divBdr>
              <w:divsChild>
                <w:div w:id="19162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36608953">
      <w:bodyDiv w:val="1"/>
      <w:marLeft w:val="0"/>
      <w:marRight w:val="0"/>
      <w:marTop w:val="0"/>
      <w:marBottom w:val="0"/>
      <w:divBdr>
        <w:top w:val="none" w:sz="0" w:space="0" w:color="auto"/>
        <w:left w:val="none" w:sz="0" w:space="0" w:color="auto"/>
        <w:bottom w:val="none" w:sz="0" w:space="0" w:color="auto"/>
        <w:right w:val="none" w:sz="0" w:space="0" w:color="auto"/>
      </w:divBdr>
      <w:divsChild>
        <w:div w:id="1975790614">
          <w:marLeft w:val="0"/>
          <w:marRight w:val="0"/>
          <w:marTop w:val="0"/>
          <w:marBottom w:val="0"/>
          <w:divBdr>
            <w:top w:val="none" w:sz="0" w:space="0" w:color="auto"/>
            <w:left w:val="none" w:sz="0" w:space="0" w:color="auto"/>
            <w:bottom w:val="none" w:sz="0" w:space="0" w:color="auto"/>
            <w:right w:val="none" w:sz="0" w:space="0" w:color="auto"/>
          </w:divBdr>
          <w:divsChild>
            <w:div w:id="1174876233">
              <w:marLeft w:val="0"/>
              <w:marRight w:val="0"/>
              <w:marTop w:val="0"/>
              <w:marBottom w:val="0"/>
              <w:divBdr>
                <w:top w:val="none" w:sz="0" w:space="0" w:color="auto"/>
                <w:left w:val="none" w:sz="0" w:space="0" w:color="auto"/>
                <w:bottom w:val="none" w:sz="0" w:space="0" w:color="auto"/>
                <w:right w:val="none" w:sz="0" w:space="0" w:color="auto"/>
              </w:divBdr>
              <w:divsChild>
                <w:div w:id="2008239471">
                  <w:marLeft w:val="0"/>
                  <w:marRight w:val="0"/>
                  <w:marTop w:val="0"/>
                  <w:marBottom w:val="0"/>
                  <w:divBdr>
                    <w:top w:val="none" w:sz="0" w:space="0" w:color="auto"/>
                    <w:left w:val="none" w:sz="0" w:space="0" w:color="auto"/>
                    <w:bottom w:val="none" w:sz="0" w:space="0" w:color="auto"/>
                    <w:right w:val="none" w:sz="0" w:space="0" w:color="auto"/>
                  </w:divBdr>
                  <w:divsChild>
                    <w:div w:id="4438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2294">
      <w:bodyDiv w:val="1"/>
      <w:marLeft w:val="0"/>
      <w:marRight w:val="0"/>
      <w:marTop w:val="0"/>
      <w:marBottom w:val="0"/>
      <w:divBdr>
        <w:top w:val="none" w:sz="0" w:space="0" w:color="auto"/>
        <w:left w:val="none" w:sz="0" w:space="0" w:color="auto"/>
        <w:bottom w:val="none" w:sz="0" w:space="0" w:color="auto"/>
        <w:right w:val="none" w:sz="0" w:space="0" w:color="auto"/>
      </w:divBdr>
      <w:divsChild>
        <w:div w:id="911893346">
          <w:marLeft w:val="0"/>
          <w:marRight w:val="0"/>
          <w:marTop w:val="0"/>
          <w:marBottom w:val="0"/>
          <w:divBdr>
            <w:top w:val="none" w:sz="0" w:space="0" w:color="auto"/>
            <w:left w:val="none" w:sz="0" w:space="0" w:color="auto"/>
            <w:bottom w:val="none" w:sz="0" w:space="0" w:color="auto"/>
            <w:right w:val="none" w:sz="0" w:space="0" w:color="auto"/>
          </w:divBdr>
          <w:divsChild>
            <w:div w:id="1927495502">
              <w:marLeft w:val="0"/>
              <w:marRight w:val="0"/>
              <w:marTop w:val="0"/>
              <w:marBottom w:val="0"/>
              <w:divBdr>
                <w:top w:val="none" w:sz="0" w:space="0" w:color="auto"/>
                <w:left w:val="none" w:sz="0" w:space="0" w:color="auto"/>
                <w:bottom w:val="none" w:sz="0" w:space="0" w:color="auto"/>
                <w:right w:val="none" w:sz="0" w:space="0" w:color="auto"/>
              </w:divBdr>
              <w:divsChild>
                <w:div w:id="543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661301615">
      <w:bodyDiv w:val="1"/>
      <w:marLeft w:val="0"/>
      <w:marRight w:val="0"/>
      <w:marTop w:val="0"/>
      <w:marBottom w:val="0"/>
      <w:divBdr>
        <w:top w:val="none" w:sz="0" w:space="0" w:color="auto"/>
        <w:left w:val="none" w:sz="0" w:space="0" w:color="auto"/>
        <w:bottom w:val="none" w:sz="0" w:space="0" w:color="auto"/>
        <w:right w:val="none" w:sz="0" w:space="0" w:color="auto"/>
      </w:divBdr>
      <w:divsChild>
        <w:div w:id="709576054">
          <w:marLeft w:val="0"/>
          <w:marRight w:val="0"/>
          <w:marTop w:val="0"/>
          <w:marBottom w:val="0"/>
          <w:divBdr>
            <w:top w:val="none" w:sz="0" w:space="0" w:color="auto"/>
            <w:left w:val="none" w:sz="0" w:space="0" w:color="auto"/>
            <w:bottom w:val="none" w:sz="0" w:space="0" w:color="auto"/>
            <w:right w:val="none" w:sz="0" w:space="0" w:color="auto"/>
          </w:divBdr>
          <w:divsChild>
            <w:div w:id="391318370">
              <w:marLeft w:val="0"/>
              <w:marRight w:val="0"/>
              <w:marTop w:val="0"/>
              <w:marBottom w:val="0"/>
              <w:divBdr>
                <w:top w:val="none" w:sz="0" w:space="0" w:color="auto"/>
                <w:left w:val="none" w:sz="0" w:space="0" w:color="auto"/>
                <w:bottom w:val="none" w:sz="0" w:space="0" w:color="auto"/>
                <w:right w:val="none" w:sz="0" w:space="0" w:color="auto"/>
              </w:divBdr>
              <w:divsChild>
                <w:div w:id="1739011193">
                  <w:marLeft w:val="0"/>
                  <w:marRight w:val="0"/>
                  <w:marTop w:val="0"/>
                  <w:marBottom w:val="0"/>
                  <w:divBdr>
                    <w:top w:val="none" w:sz="0" w:space="0" w:color="auto"/>
                    <w:left w:val="none" w:sz="0" w:space="0" w:color="auto"/>
                    <w:bottom w:val="none" w:sz="0" w:space="0" w:color="auto"/>
                    <w:right w:val="none" w:sz="0" w:space="0" w:color="auto"/>
                  </w:divBdr>
                  <w:divsChild>
                    <w:div w:id="1118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4269">
      <w:bodyDiv w:val="1"/>
      <w:marLeft w:val="0"/>
      <w:marRight w:val="0"/>
      <w:marTop w:val="0"/>
      <w:marBottom w:val="0"/>
      <w:divBdr>
        <w:top w:val="none" w:sz="0" w:space="0" w:color="auto"/>
        <w:left w:val="none" w:sz="0" w:space="0" w:color="auto"/>
        <w:bottom w:val="none" w:sz="0" w:space="0" w:color="auto"/>
        <w:right w:val="none" w:sz="0" w:space="0" w:color="auto"/>
      </w:divBdr>
    </w:div>
    <w:div w:id="1770812263">
      <w:bodyDiv w:val="1"/>
      <w:marLeft w:val="0"/>
      <w:marRight w:val="0"/>
      <w:marTop w:val="0"/>
      <w:marBottom w:val="0"/>
      <w:divBdr>
        <w:top w:val="none" w:sz="0" w:space="0" w:color="auto"/>
        <w:left w:val="none" w:sz="0" w:space="0" w:color="auto"/>
        <w:bottom w:val="none" w:sz="0" w:space="0" w:color="auto"/>
        <w:right w:val="none" w:sz="0" w:space="0" w:color="auto"/>
      </w:divBdr>
      <w:divsChild>
        <w:div w:id="689917964">
          <w:marLeft w:val="0"/>
          <w:marRight w:val="0"/>
          <w:marTop w:val="0"/>
          <w:marBottom w:val="0"/>
          <w:divBdr>
            <w:top w:val="none" w:sz="0" w:space="0" w:color="auto"/>
            <w:left w:val="none" w:sz="0" w:space="0" w:color="auto"/>
            <w:bottom w:val="none" w:sz="0" w:space="0" w:color="auto"/>
            <w:right w:val="none" w:sz="0" w:space="0" w:color="auto"/>
          </w:divBdr>
          <w:divsChild>
            <w:div w:id="179390787">
              <w:marLeft w:val="0"/>
              <w:marRight w:val="0"/>
              <w:marTop w:val="0"/>
              <w:marBottom w:val="0"/>
              <w:divBdr>
                <w:top w:val="none" w:sz="0" w:space="0" w:color="auto"/>
                <w:left w:val="none" w:sz="0" w:space="0" w:color="auto"/>
                <w:bottom w:val="none" w:sz="0" w:space="0" w:color="auto"/>
                <w:right w:val="none" w:sz="0" w:space="0" w:color="auto"/>
              </w:divBdr>
              <w:divsChild>
                <w:div w:id="8693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7326">
      <w:bodyDiv w:val="1"/>
      <w:marLeft w:val="0"/>
      <w:marRight w:val="0"/>
      <w:marTop w:val="0"/>
      <w:marBottom w:val="0"/>
      <w:divBdr>
        <w:top w:val="none" w:sz="0" w:space="0" w:color="auto"/>
        <w:left w:val="none" w:sz="0" w:space="0" w:color="auto"/>
        <w:bottom w:val="none" w:sz="0" w:space="0" w:color="auto"/>
        <w:right w:val="none" w:sz="0" w:space="0" w:color="auto"/>
      </w:divBdr>
    </w:div>
    <w:div w:id="1801998519">
      <w:bodyDiv w:val="1"/>
      <w:marLeft w:val="0"/>
      <w:marRight w:val="0"/>
      <w:marTop w:val="0"/>
      <w:marBottom w:val="0"/>
      <w:divBdr>
        <w:top w:val="none" w:sz="0" w:space="0" w:color="auto"/>
        <w:left w:val="none" w:sz="0" w:space="0" w:color="auto"/>
        <w:bottom w:val="none" w:sz="0" w:space="0" w:color="auto"/>
        <w:right w:val="none" w:sz="0" w:space="0" w:color="auto"/>
      </w:divBdr>
      <w:divsChild>
        <w:div w:id="1276715256">
          <w:marLeft w:val="0"/>
          <w:marRight w:val="0"/>
          <w:marTop w:val="0"/>
          <w:marBottom w:val="0"/>
          <w:divBdr>
            <w:top w:val="none" w:sz="0" w:space="0" w:color="auto"/>
            <w:left w:val="none" w:sz="0" w:space="0" w:color="auto"/>
            <w:bottom w:val="none" w:sz="0" w:space="0" w:color="auto"/>
            <w:right w:val="none" w:sz="0" w:space="0" w:color="auto"/>
          </w:divBdr>
          <w:divsChild>
            <w:div w:id="880284592">
              <w:marLeft w:val="0"/>
              <w:marRight w:val="0"/>
              <w:marTop w:val="0"/>
              <w:marBottom w:val="0"/>
              <w:divBdr>
                <w:top w:val="none" w:sz="0" w:space="0" w:color="auto"/>
                <w:left w:val="none" w:sz="0" w:space="0" w:color="auto"/>
                <w:bottom w:val="none" w:sz="0" w:space="0" w:color="auto"/>
                <w:right w:val="none" w:sz="0" w:space="0" w:color="auto"/>
              </w:divBdr>
              <w:divsChild>
                <w:div w:id="854997284">
                  <w:marLeft w:val="0"/>
                  <w:marRight w:val="0"/>
                  <w:marTop w:val="0"/>
                  <w:marBottom w:val="0"/>
                  <w:divBdr>
                    <w:top w:val="none" w:sz="0" w:space="0" w:color="auto"/>
                    <w:left w:val="none" w:sz="0" w:space="0" w:color="auto"/>
                    <w:bottom w:val="none" w:sz="0" w:space="0" w:color="auto"/>
                    <w:right w:val="none" w:sz="0" w:space="0" w:color="auto"/>
                  </w:divBdr>
                  <w:divsChild>
                    <w:div w:id="20232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1891918507">
      <w:bodyDiv w:val="1"/>
      <w:marLeft w:val="0"/>
      <w:marRight w:val="0"/>
      <w:marTop w:val="0"/>
      <w:marBottom w:val="0"/>
      <w:divBdr>
        <w:top w:val="none" w:sz="0" w:space="0" w:color="auto"/>
        <w:left w:val="none" w:sz="0" w:space="0" w:color="auto"/>
        <w:bottom w:val="none" w:sz="0" w:space="0" w:color="auto"/>
        <w:right w:val="none" w:sz="0" w:space="0" w:color="auto"/>
      </w:divBdr>
      <w:divsChild>
        <w:div w:id="931430335">
          <w:marLeft w:val="0"/>
          <w:marRight w:val="0"/>
          <w:marTop w:val="0"/>
          <w:marBottom w:val="0"/>
          <w:divBdr>
            <w:top w:val="none" w:sz="0" w:space="0" w:color="auto"/>
            <w:left w:val="none" w:sz="0" w:space="0" w:color="auto"/>
            <w:bottom w:val="none" w:sz="0" w:space="0" w:color="auto"/>
            <w:right w:val="none" w:sz="0" w:space="0" w:color="auto"/>
          </w:divBdr>
          <w:divsChild>
            <w:div w:id="614794622">
              <w:marLeft w:val="0"/>
              <w:marRight w:val="0"/>
              <w:marTop w:val="0"/>
              <w:marBottom w:val="0"/>
              <w:divBdr>
                <w:top w:val="none" w:sz="0" w:space="0" w:color="auto"/>
                <w:left w:val="none" w:sz="0" w:space="0" w:color="auto"/>
                <w:bottom w:val="none" w:sz="0" w:space="0" w:color="auto"/>
                <w:right w:val="none" w:sz="0" w:space="0" w:color="auto"/>
              </w:divBdr>
              <w:divsChild>
                <w:div w:id="1519856721">
                  <w:marLeft w:val="0"/>
                  <w:marRight w:val="0"/>
                  <w:marTop w:val="0"/>
                  <w:marBottom w:val="0"/>
                  <w:divBdr>
                    <w:top w:val="none" w:sz="0" w:space="0" w:color="auto"/>
                    <w:left w:val="none" w:sz="0" w:space="0" w:color="auto"/>
                    <w:bottom w:val="none" w:sz="0" w:space="0" w:color="auto"/>
                    <w:right w:val="none" w:sz="0" w:space="0" w:color="auto"/>
                  </w:divBdr>
                  <w:divsChild>
                    <w:div w:id="6594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31521">
      <w:bodyDiv w:val="1"/>
      <w:marLeft w:val="0"/>
      <w:marRight w:val="0"/>
      <w:marTop w:val="0"/>
      <w:marBottom w:val="0"/>
      <w:divBdr>
        <w:top w:val="none" w:sz="0" w:space="0" w:color="auto"/>
        <w:left w:val="none" w:sz="0" w:space="0" w:color="auto"/>
        <w:bottom w:val="none" w:sz="0" w:space="0" w:color="auto"/>
        <w:right w:val="none" w:sz="0" w:space="0" w:color="auto"/>
      </w:divBdr>
    </w:div>
    <w:div w:id="1952784268">
      <w:bodyDiv w:val="1"/>
      <w:marLeft w:val="0"/>
      <w:marRight w:val="0"/>
      <w:marTop w:val="0"/>
      <w:marBottom w:val="0"/>
      <w:divBdr>
        <w:top w:val="none" w:sz="0" w:space="0" w:color="auto"/>
        <w:left w:val="none" w:sz="0" w:space="0" w:color="auto"/>
        <w:bottom w:val="none" w:sz="0" w:space="0" w:color="auto"/>
        <w:right w:val="none" w:sz="0" w:space="0" w:color="auto"/>
      </w:divBdr>
      <w:divsChild>
        <w:div w:id="965433370">
          <w:marLeft w:val="0"/>
          <w:marRight w:val="0"/>
          <w:marTop w:val="0"/>
          <w:marBottom w:val="0"/>
          <w:divBdr>
            <w:top w:val="none" w:sz="0" w:space="0" w:color="auto"/>
            <w:left w:val="none" w:sz="0" w:space="0" w:color="auto"/>
            <w:bottom w:val="none" w:sz="0" w:space="0" w:color="auto"/>
            <w:right w:val="none" w:sz="0" w:space="0" w:color="auto"/>
          </w:divBdr>
          <w:divsChild>
            <w:div w:id="407270510">
              <w:marLeft w:val="0"/>
              <w:marRight w:val="0"/>
              <w:marTop w:val="0"/>
              <w:marBottom w:val="0"/>
              <w:divBdr>
                <w:top w:val="none" w:sz="0" w:space="0" w:color="auto"/>
                <w:left w:val="none" w:sz="0" w:space="0" w:color="auto"/>
                <w:bottom w:val="none" w:sz="0" w:space="0" w:color="auto"/>
                <w:right w:val="none" w:sz="0" w:space="0" w:color="auto"/>
              </w:divBdr>
              <w:divsChild>
                <w:div w:id="1830975127">
                  <w:marLeft w:val="0"/>
                  <w:marRight w:val="0"/>
                  <w:marTop w:val="0"/>
                  <w:marBottom w:val="0"/>
                  <w:divBdr>
                    <w:top w:val="none" w:sz="0" w:space="0" w:color="auto"/>
                    <w:left w:val="none" w:sz="0" w:space="0" w:color="auto"/>
                    <w:bottom w:val="none" w:sz="0" w:space="0" w:color="auto"/>
                    <w:right w:val="none" w:sz="0" w:space="0" w:color="auto"/>
                  </w:divBdr>
                  <w:divsChild>
                    <w:div w:id="2125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88651">
      <w:bodyDiv w:val="1"/>
      <w:marLeft w:val="0"/>
      <w:marRight w:val="0"/>
      <w:marTop w:val="0"/>
      <w:marBottom w:val="0"/>
      <w:divBdr>
        <w:top w:val="none" w:sz="0" w:space="0" w:color="auto"/>
        <w:left w:val="none" w:sz="0" w:space="0" w:color="auto"/>
        <w:bottom w:val="none" w:sz="0" w:space="0" w:color="auto"/>
        <w:right w:val="none" w:sz="0" w:space="0" w:color="auto"/>
      </w:divBdr>
      <w:divsChild>
        <w:div w:id="940839810">
          <w:marLeft w:val="0"/>
          <w:marRight w:val="0"/>
          <w:marTop w:val="0"/>
          <w:marBottom w:val="0"/>
          <w:divBdr>
            <w:top w:val="none" w:sz="0" w:space="0" w:color="auto"/>
            <w:left w:val="none" w:sz="0" w:space="0" w:color="auto"/>
            <w:bottom w:val="none" w:sz="0" w:space="0" w:color="auto"/>
            <w:right w:val="none" w:sz="0" w:space="0" w:color="auto"/>
          </w:divBdr>
          <w:divsChild>
            <w:div w:id="297075210">
              <w:marLeft w:val="0"/>
              <w:marRight w:val="0"/>
              <w:marTop w:val="0"/>
              <w:marBottom w:val="0"/>
              <w:divBdr>
                <w:top w:val="none" w:sz="0" w:space="0" w:color="auto"/>
                <w:left w:val="none" w:sz="0" w:space="0" w:color="auto"/>
                <w:bottom w:val="none" w:sz="0" w:space="0" w:color="auto"/>
                <w:right w:val="none" w:sz="0" w:space="0" w:color="auto"/>
              </w:divBdr>
              <w:divsChild>
                <w:div w:id="1658874481">
                  <w:marLeft w:val="0"/>
                  <w:marRight w:val="0"/>
                  <w:marTop w:val="0"/>
                  <w:marBottom w:val="0"/>
                  <w:divBdr>
                    <w:top w:val="none" w:sz="0" w:space="0" w:color="auto"/>
                    <w:left w:val="none" w:sz="0" w:space="0" w:color="auto"/>
                    <w:bottom w:val="none" w:sz="0" w:space="0" w:color="auto"/>
                    <w:right w:val="none" w:sz="0" w:space="0" w:color="auto"/>
                  </w:divBdr>
                  <w:divsChild>
                    <w:div w:id="13965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6596">
      <w:bodyDiv w:val="1"/>
      <w:marLeft w:val="0"/>
      <w:marRight w:val="0"/>
      <w:marTop w:val="0"/>
      <w:marBottom w:val="0"/>
      <w:divBdr>
        <w:top w:val="none" w:sz="0" w:space="0" w:color="auto"/>
        <w:left w:val="none" w:sz="0" w:space="0" w:color="auto"/>
        <w:bottom w:val="none" w:sz="0" w:space="0" w:color="auto"/>
        <w:right w:val="none" w:sz="0" w:space="0" w:color="auto"/>
      </w:divBdr>
      <w:divsChild>
        <w:div w:id="1655793297">
          <w:marLeft w:val="0"/>
          <w:marRight w:val="0"/>
          <w:marTop w:val="0"/>
          <w:marBottom w:val="0"/>
          <w:divBdr>
            <w:top w:val="none" w:sz="0" w:space="0" w:color="auto"/>
            <w:left w:val="none" w:sz="0" w:space="0" w:color="auto"/>
            <w:bottom w:val="none" w:sz="0" w:space="0" w:color="auto"/>
            <w:right w:val="none" w:sz="0" w:space="0" w:color="auto"/>
          </w:divBdr>
          <w:divsChild>
            <w:div w:id="1913617262">
              <w:marLeft w:val="0"/>
              <w:marRight w:val="0"/>
              <w:marTop w:val="0"/>
              <w:marBottom w:val="0"/>
              <w:divBdr>
                <w:top w:val="none" w:sz="0" w:space="0" w:color="auto"/>
                <w:left w:val="none" w:sz="0" w:space="0" w:color="auto"/>
                <w:bottom w:val="none" w:sz="0" w:space="0" w:color="auto"/>
                <w:right w:val="none" w:sz="0" w:space="0" w:color="auto"/>
              </w:divBdr>
              <w:divsChild>
                <w:div w:id="3718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8373">
      <w:bodyDiv w:val="1"/>
      <w:marLeft w:val="0"/>
      <w:marRight w:val="0"/>
      <w:marTop w:val="0"/>
      <w:marBottom w:val="0"/>
      <w:divBdr>
        <w:top w:val="none" w:sz="0" w:space="0" w:color="auto"/>
        <w:left w:val="none" w:sz="0" w:space="0" w:color="auto"/>
        <w:bottom w:val="none" w:sz="0" w:space="0" w:color="auto"/>
        <w:right w:val="none" w:sz="0" w:space="0" w:color="auto"/>
      </w:divBdr>
      <w:divsChild>
        <w:div w:id="743181549">
          <w:marLeft w:val="0"/>
          <w:marRight w:val="0"/>
          <w:marTop w:val="0"/>
          <w:marBottom w:val="0"/>
          <w:divBdr>
            <w:top w:val="none" w:sz="0" w:space="0" w:color="auto"/>
            <w:left w:val="none" w:sz="0" w:space="0" w:color="auto"/>
            <w:bottom w:val="none" w:sz="0" w:space="0" w:color="auto"/>
            <w:right w:val="none" w:sz="0" w:space="0" w:color="auto"/>
          </w:divBdr>
          <w:divsChild>
            <w:div w:id="2002544892">
              <w:marLeft w:val="0"/>
              <w:marRight w:val="0"/>
              <w:marTop w:val="0"/>
              <w:marBottom w:val="0"/>
              <w:divBdr>
                <w:top w:val="none" w:sz="0" w:space="0" w:color="auto"/>
                <w:left w:val="none" w:sz="0" w:space="0" w:color="auto"/>
                <w:bottom w:val="none" w:sz="0" w:space="0" w:color="auto"/>
                <w:right w:val="none" w:sz="0" w:space="0" w:color="auto"/>
              </w:divBdr>
              <w:divsChild>
                <w:div w:id="15408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82478-D9F6-4152-9F0B-C0BCFD8370C9}">
  <ds:schemaRefs>
    <ds:schemaRef ds:uri="http://schemas.openxmlformats.org/officeDocument/2006/bibliography"/>
  </ds:schemaRefs>
</ds:datastoreItem>
</file>

<file path=customXml/itemProps2.xml><?xml version="1.0" encoding="utf-8"?>
<ds:datastoreItem xmlns:ds="http://schemas.openxmlformats.org/officeDocument/2006/customXml" ds:itemID="{0A3FC709-07D5-4752-ADC1-418D951128DE}">
  <ds:schemaRefs>
    <ds:schemaRef ds:uri="http://purl.org/dc/elements/1.1/"/>
    <ds:schemaRef ds:uri="http://schemas.microsoft.com/office/2006/metadata/properties"/>
    <ds:schemaRef ds:uri="http://schemas.openxmlformats.org/package/2006/metadata/core-properties"/>
    <ds:schemaRef ds:uri="http://www.w3.org/XML/1998/namespace"/>
    <ds:schemaRef ds:uri="d660ec31-0c60-482c-b298-c899826a291b"/>
    <ds:schemaRef ds:uri="http://schemas.microsoft.com/office/2006/documentManagement/types"/>
    <ds:schemaRef ds:uri="http://schemas.microsoft.com/office/infopath/2007/PartnerControls"/>
    <ds:schemaRef ds:uri="http://purl.org/dc/dcmitype/"/>
    <ds:schemaRef ds:uri="0b0e459f-e013-4618-a992-ef2a5ceba81f"/>
    <ds:schemaRef ds:uri="http://purl.org/dc/terms/"/>
  </ds:schemaRefs>
</ds:datastoreItem>
</file>

<file path=customXml/itemProps3.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4.xml><?xml version="1.0" encoding="utf-8"?>
<ds:datastoreItem xmlns:ds="http://schemas.openxmlformats.org/officeDocument/2006/customXml" ds:itemID="{FDA9E1BB-501F-4837-8476-F8504EECEE0A}"/>
</file>

<file path=docProps/app.xml><?xml version="1.0" encoding="utf-8"?>
<Properties xmlns="http://schemas.openxmlformats.org/officeDocument/2006/extended-properties" xmlns:vt="http://schemas.openxmlformats.org/officeDocument/2006/docPropsVTypes">
  <Template>Normal</Template>
  <TotalTime>1</TotalTime>
  <Pages>9</Pages>
  <Words>2422</Words>
  <Characters>12790</Characters>
  <Application>Microsoft Office Word</Application>
  <DocSecurity>0</DocSecurity>
  <Lines>312</Lines>
  <Paragraphs>138</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15398</CharactersWithSpaces>
  <SharedDoc>false</SharedDoc>
  <HLinks>
    <vt:vector size="84" baseType="variant">
      <vt:variant>
        <vt:i4>6553626</vt:i4>
      </vt:variant>
      <vt:variant>
        <vt:i4>78</vt:i4>
      </vt:variant>
      <vt:variant>
        <vt:i4>0</vt:i4>
      </vt:variant>
      <vt:variant>
        <vt:i4>5</vt:i4>
      </vt:variant>
      <vt:variant>
        <vt:lpwstr>mailto:inclusion@secamb.nhs.uk</vt:lpwstr>
      </vt:variant>
      <vt:variant>
        <vt:lpwstr/>
      </vt:variant>
      <vt:variant>
        <vt:i4>6488168</vt:i4>
      </vt:variant>
      <vt:variant>
        <vt:i4>75</vt:i4>
      </vt:variant>
      <vt:variant>
        <vt:i4>0</vt:i4>
      </vt:variant>
      <vt:variant>
        <vt:i4>5</vt:i4>
      </vt:variant>
      <vt:variant>
        <vt:lpwstr>http://www.secamb.nhs.uk/staff_zone4/my_secamb/equality_and_diversity/equality_impact_assessments.aspx</vt:lpwstr>
      </vt:variant>
      <vt:variant>
        <vt:lpwstr/>
      </vt:variant>
      <vt:variant>
        <vt:i4>2359305</vt:i4>
      </vt:variant>
      <vt:variant>
        <vt:i4>68</vt:i4>
      </vt:variant>
      <vt:variant>
        <vt:i4>0</vt:i4>
      </vt:variant>
      <vt:variant>
        <vt:i4>5</vt:i4>
      </vt:variant>
      <vt:variant>
        <vt:lpwstr/>
      </vt:variant>
      <vt:variant>
        <vt:lpwstr>_Toc9343433</vt:lpwstr>
      </vt:variant>
      <vt:variant>
        <vt:i4>2359305</vt:i4>
      </vt:variant>
      <vt:variant>
        <vt:i4>62</vt:i4>
      </vt:variant>
      <vt:variant>
        <vt:i4>0</vt:i4>
      </vt:variant>
      <vt:variant>
        <vt:i4>5</vt:i4>
      </vt:variant>
      <vt:variant>
        <vt:lpwstr/>
      </vt:variant>
      <vt:variant>
        <vt:lpwstr>_Toc9343432</vt:lpwstr>
      </vt:variant>
      <vt:variant>
        <vt:i4>2359305</vt:i4>
      </vt:variant>
      <vt:variant>
        <vt:i4>56</vt:i4>
      </vt:variant>
      <vt:variant>
        <vt:i4>0</vt:i4>
      </vt:variant>
      <vt:variant>
        <vt:i4>5</vt:i4>
      </vt:variant>
      <vt:variant>
        <vt:lpwstr/>
      </vt:variant>
      <vt:variant>
        <vt:lpwstr>_Toc9343431</vt:lpwstr>
      </vt:variant>
      <vt:variant>
        <vt:i4>2359305</vt:i4>
      </vt:variant>
      <vt:variant>
        <vt:i4>50</vt:i4>
      </vt:variant>
      <vt:variant>
        <vt:i4>0</vt:i4>
      </vt:variant>
      <vt:variant>
        <vt:i4>5</vt:i4>
      </vt:variant>
      <vt:variant>
        <vt:lpwstr/>
      </vt:variant>
      <vt:variant>
        <vt:lpwstr>_Toc9343430</vt:lpwstr>
      </vt:variant>
      <vt:variant>
        <vt:i4>2424841</vt:i4>
      </vt:variant>
      <vt:variant>
        <vt:i4>44</vt:i4>
      </vt:variant>
      <vt:variant>
        <vt:i4>0</vt:i4>
      </vt:variant>
      <vt:variant>
        <vt:i4>5</vt:i4>
      </vt:variant>
      <vt:variant>
        <vt:lpwstr/>
      </vt:variant>
      <vt:variant>
        <vt:lpwstr>_Toc9343429</vt:lpwstr>
      </vt:variant>
      <vt:variant>
        <vt:i4>2424841</vt:i4>
      </vt:variant>
      <vt:variant>
        <vt:i4>38</vt:i4>
      </vt:variant>
      <vt:variant>
        <vt:i4>0</vt:i4>
      </vt:variant>
      <vt:variant>
        <vt:i4>5</vt:i4>
      </vt:variant>
      <vt:variant>
        <vt:lpwstr/>
      </vt:variant>
      <vt:variant>
        <vt:lpwstr>_Toc9343428</vt:lpwstr>
      </vt:variant>
      <vt:variant>
        <vt:i4>2424841</vt:i4>
      </vt:variant>
      <vt:variant>
        <vt:i4>32</vt:i4>
      </vt:variant>
      <vt:variant>
        <vt:i4>0</vt:i4>
      </vt:variant>
      <vt:variant>
        <vt:i4>5</vt:i4>
      </vt:variant>
      <vt:variant>
        <vt:lpwstr/>
      </vt:variant>
      <vt:variant>
        <vt:lpwstr>_Toc9343427</vt:lpwstr>
      </vt:variant>
      <vt:variant>
        <vt:i4>2424841</vt:i4>
      </vt:variant>
      <vt:variant>
        <vt:i4>26</vt:i4>
      </vt:variant>
      <vt:variant>
        <vt:i4>0</vt:i4>
      </vt:variant>
      <vt:variant>
        <vt:i4>5</vt:i4>
      </vt:variant>
      <vt:variant>
        <vt:lpwstr/>
      </vt:variant>
      <vt:variant>
        <vt:lpwstr>_Toc9343426</vt:lpwstr>
      </vt:variant>
      <vt:variant>
        <vt:i4>2424841</vt:i4>
      </vt:variant>
      <vt:variant>
        <vt:i4>20</vt:i4>
      </vt:variant>
      <vt:variant>
        <vt:i4>0</vt:i4>
      </vt:variant>
      <vt:variant>
        <vt:i4>5</vt:i4>
      </vt:variant>
      <vt:variant>
        <vt:lpwstr/>
      </vt:variant>
      <vt:variant>
        <vt:lpwstr>_Toc9343425</vt:lpwstr>
      </vt:variant>
      <vt:variant>
        <vt:i4>2424841</vt:i4>
      </vt:variant>
      <vt:variant>
        <vt:i4>14</vt:i4>
      </vt:variant>
      <vt:variant>
        <vt:i4>0</vt:i4>
      </vt:variant>
      <vt:variant>
        <vt:i4>5</vt:i4>
      </vt:variant>
      <vt:variant>
        <vt:lpwstr/>
      </vt:variant>
      <vt:variant>
        <vt:lpwstr>_Toc9343424</vt:lpwstr>
      </vt:variant>
      <vt:variant>
        <vt:i4>2424841</vt:i4>
      </vt:variant>
      <vt:variant>
        <vt:i4>8</vt:i4>
      </vt:variant>
      <vt:variant>
        <vt:i4>0</vt:i4>
      </vt:variant>
      <vt:variant>
        <vt:i4>5</vt:i4>
      </vt:variant>
      <vt:variant>
        <vt:lpwstr/>
      </vt:variant>
      <vt:variant>
        <vt:lpwstr>_Toc9343423</vt:lpwstr>
      </vt:variant>
      <vt:variant>
        <vt:i4>2424841</vt:i4>
      </vt:variant>
      <vt:variant>
        <vt:i4>2</vt:i4>
      </vt:variant>
      <vt:variant>
        <vt:i4>0</vt:i4>
      </vt:variant>
      <vt:variant>
        <vt:i4>5</vt:i4>
      </vt:variant>
      <vt:variant>
        <vt:lpwstr/>
      </vt:variant>
      <vt:variant>
        <vt:lpwstr>_Toc9343422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2</cp:revision>
  <cp:lastPrinted>2012-03-28T18:07:00Z</cp:lastPrinted>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Order">
    <vt:r8>231100</vt:r8>
  </property>
  <property fmtid="{D5CDD505-2E9C-101B-9397-08002B2CF9AE}" pid="4" name="_ExtendedDescription">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