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1E450E70" w:rsidR="00C7069F" w:rsidRDefault="00C7069F" w:rsidP="007D558D">
      <w:pPr>
        <w:pStyle w:val="Style1"/>
        <w:spacing w:before="240"/>
        <w:rPr>
          <w:b/>
        </w:rPr>
      </w:pPr>
    </w:p>
    <w:p w14:paraId="5A39BBE3" w14:textId="77777777" w:rsidR="00C7069F" w:rsidRDefault="00C7069F" w:rsidP="007D558D">
      <w:pPr>
        <w:pStyle w:val="Style1"/>
        <w:spacing w:before="240"/>
        <w:rPr>
          <w:b/>
        </w:rPr>
      </w:pPr>
    </w:p>
    <w:p w14:paraId="04613E28" w14:textId="77777777" w:rsidR="00C7069F" w:rsidRPr="0040381C" w:rsidRDefault="00B361AA" w:rsidP="007D558D">
      <w:pPr>
        <w:pStyle w:val="Style1"/>
        <w:jc w:val="center"/>
        <w:rPr>
          <w:szCs w:val="32"/>
        </w:rPr>
      </w:pPr>
      <w:r w:rsidRPr="00FC06F7">
        <w:rPr>
          <w:b/>
          <w:sz w:val="32"/>
          <w:szCs w:val="32"/>
        </w:rPr>
        <w:t>Shift</w:t>
      </w:r>
      <w:r w:rsidR="0036626F">
        <w:rPr>
          <w:b/>
          <w:sz w:val="32"/>
          <w:szCs w:val="32"/>
        </w:rPr>
        <w:t xml:space="preserve"> Incentive Procedure</w:t>
      </w:r>
    </w:p>
    <w:p w14:paraId="41C8F396" w14:textId="77777777" w:rsidR="00FA3B13" w:rsidRPr="0040381C" w:rsidRDefault="00FA3B13" w:rsidP="007D558D">
      <w:pPr>
        <w:pStyle w:val="Style1"/>
        <w:rPr>
          <w:szCs w:val="32"/>
        </w:rPr>
      </w:pPr>
    </w:p>
    <w:p w14:paraId="60061E4C" w14:textId="77777777" w:rsidR="00984DA2" w:rsidRDefault="00984DA2" w:rsidP="007D558D">
      <w:pPr>
        <w:pStyle w:val="Style1"/>
        <w:rPr>
          <w:szCs w:val="32"/>
        </w:rPr>
      </w:pPr>
    </w:p>
    <w:p w14:paraId="44EAFD9C" w14:textId="77777777" w:rsidR="00521E6C" w:rsidRPr="0040381C" w:rsidRDefault="00521E6C" w:rsidP="007D558D">
      <w:pPr>
        <w:pStyle w:val="Style1"/>
        <w:rPr>
          <w:szCs w:val="32"/>
        </w:rPr>
      </w:pPr>
    </w:p>
    <w:p w14:paraId="7058865A" w14:textId="77777777" w:rsidR="00C45259" w:rsidRPr="005B4E6A" w:rsidRDefault="00C45259" w:rsidP="00C45259">
      <w:pPr>
        <w:keepNext/>
        <w:keepLines/>
        <w:spacing w:after="240"/>
        <w:rPr>
          <w:rFonts w:cs="Arial"/>
        </w:rPr>
      </w:pPr>
      <w:bookmarkStart w:id="0" w:name="_Toc210802532"/>
    </w:p>
    <w:p w14:paraId="1F3B1409" w14:textId="77777777" w:rsidR="000663BC" w:rsidRDefault="000663BC" w:rsidP="000C3DE2">
      <w:pPr>
        <w:rPr>
          <w:b/>
        </w:rPr>
      </w:pPr>
    </w:p>
    <w:p w14:paraId="562C75D1" w14:textId="77777777" w:rsidR="00510F42" w:rsidRDefault="00510F42" w:rsidP="000C3DE2">
      <w:pPr>
        <w:rPr>
          <w:b/>
        </w:rPr>
      </w:pPr>
    </w:p>
    <w:p w14:paraId="664355AD" w14:textId="77777777" w:rsidR="00B46F7E" w:rsidRDefault="00B46F7E" w:rsidP="000C3DE2">
      <w:pPr>
        <w:rPr>
          <w:b/>
        </w:rPr>
      </w:pPr>
    </w:p>
    <w:p w14:paraId="44FB30F8" w14:textId="203C33A6" w:rsidR="000C3DE2" w:rsidRPr="008C3306" w:rsidRDefault="00C82D5E" w:rsidP="008C3306">
      <w:pPr>
        <w:rPr>
          <w:b/>
        </w:rPr>
      </w:pPr>
      <w:r>
        <w:rPr>
          <w:b/>
        </w:rPr>
        <w:br w:type="page"/>
      </w:r>
    </w:p>
    <w:sdt>
      <w:sdtPr>
        <w:rPr>
          <w:rFonts w:ascii="Arial" w:eastAsia="Times New Roman" w:hAnsi="Arial" w:cs="Times New Roman"/>
          <w:b w:val="0"/>
          <w:color w:val="auto"/>
          <w:sz w:val="24"/>
          <w:szCs w:val="20"/>
          <w:lang w:val="en-GB"/>
        </w:rPr>
        <w:id w:val="-2131997751"/>
        <w:docPartObj>
          <w:docPartGallery w:val="Table of Contents"/>
          <w:docPartUnique/>
        </w:docPartObj>
      </w:sdtPr>
      <w:sdtEndPr>
        <w:rPr>
          <w:bCs/>
          <w:noProof/>
        </w:rPr>
      </w:sdtEndPr>
      <w:sdtContent>
        <w:p w14:paraId="406425CA" w14:textId="77777777" w:rsidR="000C3DE2" w:rsidRDefault="000C3DE2">
          <w:pPr>
            <w:pStyle w:val="TOCHeading"/>
            <w:rPr>
              <w:rFonts w:ascii="Arial" w:hAnsi="Arial" w:cs="Arial"/>
              <w:bCs/>
              <w:color w:val="auto"/>
            </w:rPr>
          </w:pPr>
          <w:r w:rsidRPr="008C3306">
            <w:rPr>
              <w:rFonts w:ascii="Arial" w:hAnsi="Arial" w:cs="Arial"/>
              <w:bCs/>
              <w:color w:val="auto"/>
            </w:rPr>
            <w:t>Contents</w:t>
          </w:r>
        </w:p>
        <w:p w14:paraId="6B204452" w14:textId="77777777" w:rsidR="005436B0" w:rsidRPr="005436B0" w:rsidRDefault="005436B0" w:rsidP="005436B0">
          <w:pPr>
            <w:rPr>
              <w:lang w:val="en-US"/>
            </w:rPr>
          </w:pPr>
        </w:p>
        <w:p w14:paraId="73A8FE83" w14:textId="7FD137EF" w:rsidR="005D70E5" w:rsidRPr="005436B0" w:rsidRDefault="000C3DE2" w:rsidP="005436B0">
          <w:pPr>
            <w:pStyle w:val="TOC1"/>
            <w:rPr>
              <w:rFonts w:asciiTheme="minorHAnsi" w:eastAsiaTheme="minorEastAsia" w:hAnsiTheme="minorHAnsi" w:cstheme="minorBidi"/>
              <w:kern w:val="2"/>
              <w:szCs w:val="24"/>
              <w:lang w:eastAsia="en-GB"/>
              <w14:ligatures w14:val="standardContextual"/>
            </w:rPr>
          </w:pPr>
          <w:r>
            <w:fldChar w:fldCharType="begin"/>
          </w:r>
          <w:r>
            <w:instrText xml:space="preserve"> TOC \o "1-3" \h \z \u </w:instrText>
          </w:r>
          <w:r>
            <w:fldChar w:fldCharType="separate"/>
          </w:r>
          <w:hyperlink w:anchor="_Toc218695996" w:history="1">
            <w:r w:rsidR="005D70E5" w:rsidRPr="005436B0">
              <w:rPr>
                <w:rStyle w:val="Hyperlink"/>
                <w:rFonts w:cs="Arial"/>
              </w:rPr>
              <w:t>Document Control</w:t>
            </w:r>
            <w:r w:rsidR="005D70E5" w:rsidRPr="005436B0">
              <w:rPr>
                <w:webHidden/>
              </w:rPr>
              <w:tab/>
            </w:r>
            <w:r w:rsidR="005D70E5" w:rsidRPr="005436B0">
              <w:rPr>
                <w:webHidden/>
              </w:rPr>
              <w:fldChar w:fldCharType="begin"/>
            </w:r>
            <w:r w:rsidR="005D70E5" w:rsidRPr="005436B0">
              <w:rPr>
                <w:webHidden/>
              </w:rPr>
              <w:instrText xml:space="preserve"> PAGEREF _Toc218695996 \h </w:instrText>
            </w:r>
            <w:r w:rsidR="005D70E5" w:rsidRPr="005436B0">
              <w:rPr>
                <w:webHidden/>
              </w:rPr>
            </w:r>
            <w:r w:rsidR="005D70E5" w:rsidRPr="005436B0">
              <w:rPr>
                <w:webHidden/>
              </w:rPr>
              <w:fldChar w:fldCharType="separate"/>
            </w:r>
            <w:r w:rsidR="005436B0" w:rsidRPr="005436B0">
              <w:rPr>
                <w:webHidden/>
              </w:rPr>
              <w:t>2</w:t>
            </w:r>
            <w:r w:rsidR="005D70E5" w:rsidRPr="005436B0">
              <w:rPr>
                <w:webHidden/>
              </w:rPr>
              <w:fldChar w:fldCharType="end"/>
            </w:r>
          </w:hyperlink>
        </w:p>
        <w:p w14:paraId="3538E159" w14:textId="166F661E"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5997" w:history="1">
            <w:r w:rsidRPr="005436B0">
              <w:rPr>
                <w:rStyle w:val="Hyperlink"/>
                <w:rFonts w:ascii="Arial Bold" w:hAnsi="Arial Bold" w:cs="Broadway"/>
                <w:caps/>
                <w:kern w:val="24"/>
              </w:rPr>
              <w:t>1</w:t>
            </w:r>
            <w:r w:rsidRPr="005436B0">
              <w:rPr>
                <w:rFonts w:asciiTheme="minorHAnsi" w:eastAsiaTheme="minorEastAsia" w:hAnsiTheme="minorHAnsi" w:cstheme="minorBidi"/>
                <w:kern w:val="2"/>
                <w:szCs w:val="24"/>
                <w:lang w:eastAsia="en-GB"/>
                <w14:ligatures w14:val="standardContextual"/>
              </w:rPr>
              <w:tab/>
            </w:r>
            <w:r w:rsidRPr="005436B0">
              <w:rPr>
                <w:rStyle w:val="Hyperlink"/>
              </w:rPr>
              <w:t>Introduction</w:t>
            </w:r>
            <w:r w:rsidRPr="005436B0">
              <w:rPr>
                <w:webHidden/>
              </w:rPr>
              <w:tab/>
            </w:r>
            <w:r w:rsidRPr="005436B0">
              <w:rPr>
                <w:webHidden/>
              </w:rPr>
              <w:fldChar w:fldCharType="begin"/>
            </w:r>
            <w:r w:rsidRPr="005436B0">
              <w:rPr>
                <w:webHidden/>
              </w:rPr>
              <w:instrText xml:space="preserve"> PAGEREF _Toc218695997 \h </w:instrText>
            </w:r>
            <w:r w:rsidRPr="005436B0">
              <w:rPr>
                <w:webHidden/>
              </w:rPr>
            </w:r>
            <w:r w:rsidRPr="005436B0">
              <w:rPr>
                <w:webHidden/>
              </w:rPr>
              <w:fldChar w:fldCharType="separate"/>
            </w:r>
            <w:r w:rsidR="005436B0" w:rsidRPr="005436B0">
              <w:rPr>
                <w:webHidden/>
              </w:rPr>
              <w:t>4</w:t>
            </w:r>
            <w:r w:rsidRPr="005436B0">
              <w:rPr>
                <w:webHidden/>
              </w:rPr>
              <w:fldChar w:fldCharType="end"/>
            </w:r>
          </w:hyperlink>
        </w:p>
        <w:p w14:paraId="6229F39D" w14:textId="75E9F942"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5998" w:history="1">
            <w:r w:rsidRPr="005436B0">
              <w:rPr>
                <w:rStyle w:val="Hyperlink"/>
                <w:rFonts w:ascii="Arial Bold" w:hAnsi="Arial Bold"/>
              </w:rPr>
              <w:t>2.</w:t>
            </w:r>
            <w:r w:rsidRPr="005436B0">
              <w:rPr>
                <w:rFonts w:asciiTheme="minorHAnsi" w:eastAsiaTheme="minorEastAsia" w:hAnsiTheme="minorHAnsi" w:cstheme="minorBidi"/>
                <w:kern w:val="2"/>
                <w:szCs w:val="24"/>
                <w:lang w:eastAsia="en-GB"/>
                <w14:ligatures w14:val="standardContextual"/>
              </w:rPr>
              <w:tab/>
            </w:r>
            <w:r w:rsidRPr="005436B0">
              <w:rPr>
                <w:rStyle w:val="Hyperlink"/>
              </w:rPr>
              <w:t>Scope</w:t>
            </w:r>
            <w:r w:rsidRPr="005436B0">
              <w:rPr>
                <w:webHidden/>
              </w:rPr>
              <w:tab/>
            </w:r>
            <w:r w:rsidRPr="005436B0">
              <w:rPr>
                <w:webHidden/>
              </w:rPr>
              <w:fldChar w:fldCharType="begin"/>
            </w:r>
            <w:r w:rsidRPr="005436B0">
              <w:rPr>
                <w:webHidden/>
              </w:rPr>
              <w:instrText xml:space="preserve"> PAGEREF _Toc218695998 \h </w:instrText>
            </w:r>
            <w:r w:rsidRPr="005436B0">
              <w:rPr>
                <w:webHidden/>
              </w:rPr>
            </w:r>
            <w:r w:rsidRPr="005436B0">
              <w:rPr>
                <w:webHidden/>
              </w:rPr>
              <w:fldChar w:fldCharType="separate"/>
            </w:r>
            <w:r w:rsidR="005436B0" w:rsidRPr="005436B0">
              <w:rPr>
                <w:webHidden/>
              </w:rPr>
              <w:t>4</w:t>
            </w:r>
            <w:r w:rsidRPr="005436B0">
              <w:rPr>
                <w:webHidden/>
              </w:rPr>
              <w:fldChar w:fldCharType="end"/>
            </w:r>
          </w:hyperlink>
        </w:p>
        <w:p w14:paraId="7E73B788" w14:textId="6CE09842"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5999" w:history="1">
            <w:r w:rsidRPr="005436B0">
              <w:rPr>
                <w:rStyle w:val="Hyperlink"/>
                <w:rFonts w:ascii="Arial Bold" w:eastAsia="Calibri" w:hAnsi="Arial Bold"/>
              </w:rPr>
              <w:t>3.</w:t>
            </w:r>
            <w:r w:rsidRPr="005436B0">
              <w:rPr>
                <w:rFonts w:asciiTheme="minorHAnsi" w:eastAsiaTheme="minorEastAsia" w:hAnsiTheme="minorHAnsi" w:cstheme="minorBidi"/>
                <w:kern w:val="2"/>
                <w:szCs w:val="24"/>
                <w:lang w:eastAsia="en-GB"/>
                <w14:ligatures w14:val="standardContextual"/>
              </w:rPr>
              <w:tab/>
            </w:r>
            <w:r w:rsidRPr="005436B0">
              <w:rPr>
                <w:rStyle w:val="Hyperlink"/>
              </w:rPr>
              <w:t>Policy Statement</w:t>
            </w:r>
            <w:r w:rsidRPr="005436B0">
              <w:rPr>
                <w:webHidden/>
              </w:rPr>
              <w:tab/>
            </w:r>
            <w:r w:rsidRPr="005436B0">
              <w:rPr>
                <w:webHidden/>
              </w:rPr>
              <w:fldChar w:fldCharType="begin"/>
            </w:r>
            <w:r w:rsidRPr="005436B0">
              <w:rPr>
                <w:webHidden/>
              </w:rPr>
              <w:instrText xml:space="preserve"> PAGEREF _Toc218695999 \h </w:instrText>
            </w:r>
            <w:r w:rsidRPr="005436B0">
              <w:rPr>
                <w:webHidden/>
              </w:rPr>
            </w:r>
            <w:r w:rsidRPr="005436B0">
              <w:rPr>
                <w:webHidden/>
              </w:rPr>
              <w:fldChar w:fldCharType="separate"/>
            </w:r>
            <w:r w:rsidR="005436B0" w:rsidRPr="005436B0">
              <w:rPr>
                <w:webHidden/>
              </w:rPr>
              <w:t>4</w:t>
            </w:r>
            <w:r w:rsidRPr="005436B0">
              <w:rPr>
                <w:webHidden/>
              </w:rPr>
              <w:fldChar w:fldCharType="end"/>
            </w:r>
          </w:hyperlink>
        </w:p>
        <w:p w14:paraId="3854D305" w14:textId="0890334B"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0" w:history="1">
            <w:r w:rsidRPr="005436B0">
              <w:rPr>
                <w:rStyle w:val="Hyperlink"/>
                <w:rFonts w:ascii="Arial Bold" w:eastAsia="Calibri" w:hAnsi="Arial Bold"/>
              </w:rPr>
              <w:t>4.</w:t>
            </w:r>
            <w:r w:rsidRPr="005436B0">
              <w:rPr>
                <w:rFonts w:asciiTheme="minorHAnsi" w:eastAsiaTheme="minorEastAsia" w:hAnsiTheme="minorHAnsi" w:cstheme="minorBidi"/>
                <w:kern w:val="2"/>
                <w:szCs w:val="24"/>
                <w:lang w:eastAsia="en-GB"/>
                <w14:ligatures w14:val="standardContextual"/>
              </w:rPr>
              <w:tab/>
            </w:r>
            <w:r w:rsidRPr="005436B0">
              <w:rPr>
                <w:rStyle w:val="Hyperlink"/>
              </w:rPr>
              <w:t>Responsibilities</w:t>
            </w:r>
            <w:r w:rsidRPr="005436B0">
              <w:rPr>
                <w:webHidden/>
              </w:rPr>
              <w:tab/>
            </w:r>
            <w:r w:rsidRPr="005436B0">
              <w:rPr>
                <w:webHidden/>
              </w:rPr>
              <w:fldChar w:fldCharType="begin"/>
            </w:r>
            <w:r w:rsidRPr="005436B0">
              <w:rPr>
                <w:webHidden/>
              </w:rPr>
              <w:instrText xml:space="preserve"> PAGEREF _Toc218696000 \h </w:instrText>
            </w:r>
            <w:r w:rsidRPr="005436B0">
              <w:rPr>
                <w:webHidden/>
              </w:rPr>
            </w:r>
            <w:r w:rsidRPr="005436B0">
              <w:rPr>
                <w:webHidden/>
              </w:rPr>
              <w:fldChar w:fldCharType="separate"/>
            </w:r>
            <w:r w:rsidR="005436B0" w:rsidRPr="005436B0">
              <w:rPr>
                <w:webHidden/>
              </w:rPr>
              <w:t>5</w:t>
            </w:r>
            <w:r w:rsidRPr="005436B0">
              <w:rPr>
                <w:webHidden/>
              </w:rPr>
              <w:fldChar w:fldCharType="end"/>
            </w:r>
          </w:hyperlink>
        </w:p>
        <w:p w14:paraId="29302EF9" w14:textId="3B7F4FB5"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1" w:history="1">
            <w:r w:rsidRPr="005436B0">
              <w:rPr>
                <w:rStyle w:val="Hyperlink"/>
                <w:rFonts w:ascii="Arial Bold" w:hAnsi="Arial Bold"/>
              </w:rPr>
              <w:t>5.</w:t>
            </w:r>
            <w:r w:rsidRPr="005436B0">
              <w:rPr>
                <w:rFonts w:asciiTheme="minorHAnsi" w:eastAsiaTheme="minorEastAsia" w:hAnsiTheme="minorHAnsi" w:cstheme="minorBidi"/>
                <w:kern w:val="2"/>
                <w:szCs w:val="24"/>
                <w:lang w:eastAsia="en-GB"/>
                <w14:ligatures w14:val="standardContextual"/>
              </w:rPr>
              <w:tab/>
            </w:r>
            <w:r w:rsidRPr="005436B0">
              <w:rPr>
                <w:rStyle w:val="Hyperlink"/>
              </w:rPr>
              <w:t>Approval of Incentive Shift Package</w:t>
            </w:r>
            <w:r w:rsidRPr="005436B0">
              <w:rPr>
                <w:webHidden/>
              </w:rPr>
              <w:tab/>
            </w:r>
            <w:r w:rsidRPr="005436B0">
              <w:rPr>
                <w:webHidden/>
              </w:rPr>
              <w:fldChar w:fldCharType="begin"/>
            </w:r>
            <w:r w:rsidRPr="005436B0">
              <w:rPr>
                <w:webHidden/>
              </w:rPr>
              <w:instrText xml:space="preserve"> PAGEREF _Toc218696001 \h </w:instrText>
            </w:r>
            <w:r w:rsidRPr="005436B0">
              <w:rPr>
                <w:webHidden/>
              </w:rPr>
            </w:r>
            <w:r w:rsidRPr="005436B0">
              <w:rPr>
                <w:webHidden/>
              </w:rPr>
              <w:fldChar w:fldCharType="separate"/>
            </w:r>
            <w:r w:rsidR="005436B0" w:rsidRPr="005436B0">
              <w:rPr>
                <w:webHidden/>
              </w:rPr>
              <w:t>6</w:t>
            </w:r>
            <w:r w:rsidRPr="005436B0">
              <w:rPr>
                <w:webHidden/>
              </w:rPr>
              <w:fldChar w:fldCharType="end"/>
            </w:r>
          </w:hyperlink>
        </w:p>
        <w:p w14:paraId="3886DD3A" w14:textId="0DC74ACE"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2" w:history="1">
            <w:r w:rsidRPr="005436B0">
              <w:rPr>
                <w:rStyle w:val="Hyperlink"/>
                <w:rFonts w:ascii="Arial Bold" w:hAnsi="Arial Bold"/>
              </w:rPr>
              <w:t>6.</w:t>
            </w:r>
            <w:r w:rsidRPr="005436B0">
              <w:rPr>
                <w:rFonts w:asciiTheme="minorHAnsi" w:eastAsiaTheme="minorEastAsia" w:hAnsiTheme="minorHAnsi" w:cstheme="minorBidi"/>
                <w:kern w:val="2"/>
                <w:szCs w:val="24"/>
                <w:lang w:eastAsia="en-GB"/>
                <w14:ligatures w14:val="standardContextual"/>
              </w:rPr>
              <w:tab/>
            </w:r>
            <w:r w:rsidRPr="005436B0">
              <w:rPr>
                <w:rStyle w:val="Hyperlink"/>
              </w:rPr>
              <w:t>Advertising Incentive Shifts</w:t>
            </w:r>
            <w:r w:rsidRPr="005436B0">
              <w:rPr>
                <w:webHidden/>
              </w:rPr>
              <w:tab/>
            </w:r>
            <w:r w:rsidRPr="005436B0">
              <w:rPr>
                <w:webHidden/>
              </w:rPr>
              <w:fldChar w:fldCharType="begin"/>
            </w:r>
            <w:r w:rsidRPr="005436B0">
              <w:rPr>
                <w:webHidden/>
              </w:rPr>
              <w:instrText xml:space="preserve"> PAGEREF _Toc218696002 \h </w:instrText>
            </w:r>
            <w:r w:rsidRPr="005436B0">
              <w:rPr>
                <w:webHidden/>
              </w:rPr>
            </w:r>
            <w:r w:rsidRPr="005436B0">
              <w:rPr>
                <w:webHidden/>
              </w:rPr>
              <w:fldChar w:fldCharType="separate"/>
            </w:r>
            <w:r w:rsidR="005436B0" w:rsidRPr="005436B0">
              <w:rPr>
                <w:webHidden/>
              </w:rPr>
              <w:t>6</w:t>
            </w:r>
            <w:r w:rsidRPr="005436B0">
              <w:rPr>
                <w:webHidden/>
              </w:rPr>
              <w:fldChar w:fldCharType="end"/>
            </w:r>
          </w:hyperlink>
        </w:p>
        <w:p w14:paraId="28E1BA96" w14:textId="1E34CA63"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3" w:history="1">
            <w:r w:rsidRPr="005436B0">
              <w:rPr>
                <w:rStyle w:val="Hyperlink"/>
                <w:rFonts w:ascii="Arial Bold" w:hAnsi="Arial Bold"/>
              </w:rPr>
              <w:t>7.</w:t>
            </w:r>
            <w:r w:rsidRPr="005436B0">
              <w:rPr>
                <w:rFonts w:asciiTheme="minorHAnsi" w:eastAsiaTheme="minorEastAsia" w:hAnsiTheme="minorHAnsi" w:cstheme="minorBidi"/>
                <w:kern w:val="2"/>
                <w:szCs w:val="24"/>
                <w:lang w:eastAsia="en-GB"/>
                <w14:ligatures w14:val="standardContextual"/>
              </w:rPr>
              <w:tab/>
            </w:r>
            <w:r w:rsidRPr="005436B0">
              <w:rPr>
                <w:rStyle w:val="Hyperlink"/>
              </w:rPr>
              <w:t>Applying for Incentive Shifts</w:t>
            </w:r>
            <w:r w:rsidRPr="005436B0">
              <w:rPr>
                <w:webHidden/>
              </w:rPr>
              <w:tab/>
            </w:r>
            <w:r w:rsidRPr="005436B0">
              <w:rPr>
                <w:webHidden/>
              </w:rPr>
              <w:fldChar w:fldCharType="begin"/>
            </w:r>
            <w:r w:rsidRPr="005436B0">
              <w:rPr>
                <w:webHidden/>
              </w:rPr>
              <w:instrText xml:space="preserve"> PAGEREF _Toc218696003 \h </w:instrText>
            </w:r>
            <w:r w:rsidRPr="005436B0">
              <w:rPr>
                <w:webHidden/>
              </w:rPr>
            </w:r>
            <w:r w:rsidRPr="005436B0">
              <w:rPr>
                <w:webHidden/>
              </w:rPr>
              <w:fldChar w:fldCharType="separate"/>
            </w:r>
            <w:r w:rsidR="005436B0" w:rsidRPr="005436B0">
              <w:rPr>
                <w:webHidden/>
              </w:rPr>
              <w:t>7</w:t>
            </w:r>
            <w:r w:rsidRPr="005436B0">
              <w:rPr>
                <w:webHidden/>
              </w:rPr>
              <w:fldChar w:fldCharType="end"/>
            </w:r>
          </w:hyperlink>
        </w:p>
        <w:p w14:paraId="76BFCF07" w14:textId="73C0C06C"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4" w:history="1">
            <w:r w:rsidRPr="005436B0">
              <w:rPr>
                <w:rStyle w:val="Hyperlink"/>
                <w:rFonts w:ascii="Arial Bold" w:hAnsi="Arial Bold"/>
              </w:rPr>
              <w:t>8.</w:t>
            </w:r>
            <w:r w:rsidRPr="005436B0">
              <w:rPr>
                <w:rFonts w:asciiTheme="minorHAnsi" w:eastAsiaTheme="minorEastAsia" w:hAnsiTheme="minorHAnsi" w:cstheme="minorBidi"/>
                <w:kern w:val="2"/>
                <w:szCs w:val="24"/>
                <w:lang w:eastAsia="en-GB"/>
                <w14:ligatures w14:val="standardContextual"/>
              </w:rPr>
              <w:tab/>
            </w:r>
            <w:r w:rsidRPr="005436B0">
              <w:rPr>
                <w:rStyle w:val="Hyperlink"/>
              </w:rPr>
              <w:t>Pay for Incentive Shifts</w:t>
            </w:r>
            <w:r w:rsidRPr="005436B0">
              <w:rPr>
                <w:webHidden/>
              </w:rPr>
              <w:tab/>
            </w:r>
            <w:r w:rsidRPr="005436B0">
              <w:rPr>
                <w:webHidden/>
              </w:rPr>
              <w:fldChar w:fldCharType="begin"/>
            </w:r>
            <w:r w:rsidRPr="005436B0">
              <w:rPr>
                <w:webHidden/>
              </w:rPr>
              <w:instrText xml:space="preserve"> PAGEREF _Toc218696004 \h </w:instrText>
            </w:r>
            <w:r w:rsidRPr="005436B0">
              <w:rPr>
                <w:webHidden/>
              </w:rPr>
            </w:r>
            <w:r w:rsidRPr="005436B0">
              <w:rPr>
                <w:webHidden/>
              </w:rPr>
              <w:fldChar w:fldCharType="separate"/>
            </w:r>
            <w:r w:rsidR="005436B0" w:rsidRPr="005436B0">
              <w:rPr>
                <w:webHidden/>
              </w:rPr>
              <w:t>7</w:t>
            </w:r>
            <w:r w:rsidRPr="005436B0">
              <w:rPr>
                <w:webHidden/>
              </w:rPr>
              <w:fldChar w:fldCharType="end"/>
            </w:r>
          </w:hyperlink>
        </w:p>
        <w:p w14:paraId="377624C6" w14:textId="39BCEDF4"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5" w:history="1">
            <w:r w:rsidRPr="005436B0">
              <w:rPr>
                <w:rStyle w:val="Hyperlink"/>
              </w:rPr>
              <w:t>9</w:t>
            </w:r>
            <w:r w:rsidR="008B5583" w:rsidRPr="005436B0">
              <w:rPr>
                <w:rStyle w:val="Hyperlink"/>
              </w:rPr>
              <w:t>.</w:t>
            </w:r>
            <w:r w:rsidRPr="005436B0">
              <w:rPr>
                <w:rFonts w:asciiTheme="minorHAnsi" w:eastAsiaTheme="minorEastAsia" w:hAnsiTheme="minorHAnsi" w:cstheme="minorBidi"/>
                <w:kern w:val="2"/>
                <w:szCs w:val="24"/>
                <w:lang w:eastAsia="en-GB"/>
                <w14:ligatures w14:val="standardContextual"/>
              </w:rPr>
              <w:tab/>
            </w:r>
            <w:r w:rsidRPr="005436B0">
              <w:rPr>
                <w:rStyle w:val="Hyperlink"/>
              </w:rPr>
              <w:t>Fraud</w:t>
            </w:r>
            <w:r w:rsidRPr="005436B0">
              <w:rPr>
                <w:webHidden/>
              </w:rPr>
              <w:tab/>
            </w:r>
            <w:r w:rsidRPr="005436B0">
              <w:rPr>
                <w:webHidden/>
              </w:rPr>
              <w:fldChar w:fldCharType="begin"/>
            </w:r>
            <w:r w:rsidRPr="005436B0">
              <w:rPr>
                <w:webHidden/>
              </w:rPr>
              <w:instrText xml:space="preserve"> PAGEREF _Toc218696005 \h </w:instrText>
            </w:r>
            <w:r w:rsidRPr="005436B0">
              <w:rPr>
                <w:webHidden/>
              </w:rPr>
            </w:r>
            <w:r w:rsidRPr="005436B0">
              <w:rPr>
                <w:webHidden/>
              </w:rPr>
              <w:fldChar w:fldCharType="separate"/>
            </w:r>
            <w:r w:rsidR="005436B0" w:rsidRPr="005436B0">
              <w:rPr>
                <w:webHidden/>
              </w:rPr>
              <w:t>8</w:t>
            </w:r>
            <w:r w:rsidRPr="005436B0">
              <w:rPr>
                <w:webHidden/>
              </w:rPr>
              <w:fldChar w:fldCharType="end"/>
            </w:r>
          </w:hyperlink>
        </w:p>
        <w:p w14:paraId="4A6D82B1" w14:textId="72D091DD"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6" w:history="1">
            <w:r w:rsidRPr="005436B0">
              <w:rPr>
                <w:rStyle w:val="Hyperlink"/>
                <w:rFonts w:eastAsia="Arial"/>
                <w:lang w:eastAsia="en-GB"/>
              </w:rPr>
              <w:t>10</w:t>
            </w:r>
            <w:r w:rsidR="008B5583" w:rsidRPr="005436B0">
              <w:rPr>
                <w:rStyle w:val="Hyperlink"/>
                <w:rFonts w:eastAsia="Arial"/>
                <w:lang w:eastAsia="en-GB"/>
              </w:rPr>
              <w:t>.</w:t>
            </w:r>
            <w:r w:rsidRPr="005436B0">
              <w:rPr>
                <w:rFonts w:asciiTheme="minorHAnsi" w:eastAsiaTheme="minorEastAsia" w:hAnsiTheme="minorHAnsi" w:cstheme="minorBidi"/>
                <w:kern w:val="2"/>
                <w:szCs w:val="24"/>
                <w:lang w:eastAsia="en-GB"/>
                <w14:ligatures w14:val="standardContextual"/>
              </w:rPr>
              <w:tab/>
            </w:r>
            <w:r w:rsidRPr="005436B0">
              <w:rPr>
                <w:rStyle w:val="Hyperlink"/>
              </w:rPr>
              <w:t>Audit and Review</w:t>
            </w:r>
            <w:r w:rsidRPr="005436B0">
              <w:rPr>
                <w:webHidden/>
              </w:rPr>
              <w:tab/>
            </w:r>
            <w:r w:rsidRPr="005436B0">
              <w:rPr>
                <w:webHidden/>
              </w:rPr>
              <w:fldChar w:fldCharType="begin"/>
            </w:r>
            <w:r w:rsidRPr="005436B0">
              <w:rPr>
                <w:webHidden/>
              </w:rPr>
              <w:instrText xml:space="preserve"> PAGEREF _Toc218696006 \h </w:instrText>
            </w:r>
            <w:r w:rsidRPr="005436B0">
              <w:rPr>
                <w:webHidden/>
              </w:rPr>
            </w:r>
            <w:r w:rsidRPr="005436B0">
              <w:rPr>
                <w:webHidden/>
              </w:rPr>
              <w:fldChar w:fldCharType="separate"/>
            </w:r>
            <w:r w:rsidR="005436B0" w:rsidRPr="005436B0">
              <w:rPr>
                <w:webHidden/>
              </w:rPr>
              <w:t>8</w:t>
            </w:r>
            <w:r w:rsidRPr="005436B0">
              <w:rPr>
                <w:webHidden/>
              </w:rPr>
              <w:fldChar w:fldCharType="end"/>
            </w:r>
          </w:hyperlink>
        </w:p>
        <w:p w14:paraId="663B9412" w14:textId="2331AB70"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7" w:history="1">
            <w:r w:rsidRPr="005436B0">
              <w:rPr>
                <w:rStyle w:val="Hyperlink"/>
              </w:rPr>
              <w:t>11</w:t>
            </w:r>
            <w:r w:rsidR="008B5583" w:rsidRPr="005436B0">
              <w:rPr>
                <w:rStyle w:val="Hyperlink"/>
              </w:rPr>
              <w:t>.</w:t>
            </w:r>
            <w:r w:rsidRPr="005436B0">
              <w:rPr>
                <w:rFonts w:asciiTheme="minorHAnsi" w:eastAsiaTheme="minorEastAsia" w:hAnsiTheme="minorHAnsi" w:cstheme="minorBidi"/>
                <w:kern w:val="2"/>
                <w:szCs w:val="24"/>
                <w:lang w:eastAsia="en-GB"/>
                <w14:ligatures w14:val="standardContextual"/>
              </w:rPr>
              <w:tab/>
            </w:r>
            <w:r w:rsidRPr="005436B0">
              <w:rPr>
                <w:rStyle w:val="Hyperlink"/>
              </w:rPr>
              <w:t>Associated Trust Documentation</w:t>
            </w:r>
            <w:r w:rsidRPr="005436B0">
              <w:rPr>
                <w:webHidden/>
              </w:rPr>
              <w:tab/>
            </w:r>
            <w:r w:rsidRPr="005436B0">
              <w:rPr>
                <w:webHidden/>
              </w:rPr>
              <w:fldChar w:fldCharType="begin"/>
            </w:r>
            <w:r w:rsidRPr="005436B0">
              <w:rPr>
                <w:webHidden/>
              </w:rPr>
              <w:instrText xml:space="preserve"> PAGEREF _Toc218696007 \h </w:instrText>
            </w:r>
            <w:r w:rsidRPr="005436B0">
              <w:rPr>
                <w:webHidden/>
              </w:rPr>
            </w:r>
            <w:r w:rsidRPr="005436B0">
              <w:rPr>
                <w:webHidden/>
              </w:rPr>
              <w:fldChar w:fldCharType="separate"/>
            </w:r>
            <w:r w:rsidR="005436B0" w:rsidRPr="005436B0">
              <w:rPr>
                <w:webHidden/>
              </w:rPr>
              <w:t>8</w:t>
            </w:r>
            <w:r w:rsidRPr="005436B0">
              <w:rPr>
                <w:webHidden/>
              </w:rPr>
              <w:fldChar w:fldCharType="end"/>
            </w:r>
          </w:hyperlink>
        </w:p>
        <w:p w14:paraId="16AC533A" w14:textId="3A076E0E"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8" w:history="1">
            <w:r w:rsidRPr="005436B0">
              <w:rPr>
                <w:rStyle w:val="Hyperlink"/>
              </w:rPr>
              <w:t>12</w:t>
            </w:r>
            <w:r w:rsidR="008B5583" w:rsidRPr="005436B0">
              <w:rPr>
                <w:rStyle w:val="Hyperlink"/>
              </w:rPr>
              <w:t>.</w:t>
            </w:r>
            <w:r w:rsidRPr="005436B0">
              <w:rPr>
                <w:rFonts w:asciiTheme="minorHAnsi" w:eastAsiaTheme="minorEastAsia" w:hAnsiTheme="minorHAnsi" w:cstheme="minorBidi"/>
                <w:kern w:val="2"/>
                <w:szCs w:val="24"/>
                <w:lang w:eastAsia="en-GB"/>
                <w14:ligatures w14:val="standardContextual"/>
              </w:rPr>
              <w:tab/>
            </w:r>
            <w:r w:rsidRPr="005436B0">
              <w:rPr>
                <w:rStyle w:val="Hyperlink"/>
              </w:rPr>
              <w:t>Financial</w:t>
            </w:r>
            <w:r w:rsidRPr="005436B0">
              <w:rPr>
                <w:webHidden/>
              </w:rPr>
              <w:tab/>
            </w:r>
            <w:r w:rsidRPr="005436B0">
              <w:rPr>
                <w:webHidden/>
              </w:rPr>
              <w:fldChar w:fldCharType="begin"/>
            </w:r>
            <w:r w:rsidRPr="005436B0">
              <w:rPr>
                <w:webHidden/>
              </w:rPr>
              <w:instrText xml:space="preserve"> PAGEREF _Toc218696008 \h </w:instrText>
            </w:r>
            <w:r w:rsidRPr="005436B0">
              <w:rPr>
                <w:webHidden/>
              </w:rPr>
            </w:r>
            <w:r w:rsidRPr="005436B0">
              <w:rPr>
                <w:webHidden/>
              </w:rPr>
              <w:fldChar w:fldCharType="separate"/>
            </w:r>
            <w:r w:rsidR="005436B0" w:rsidRPr="005436B0">
              <w:rPr>
                <w:webHidden/>
              </w:rPr>
              <w:t>8</w:t>
            </w:r>
            <w:r w:rsidRPr="005436B0">
              <w:rPr>
                <w:webHidden/>
              </w:rPr>
              <w:fldChar w:fldCharType="end"/>
            </w:r>
          </w:hyperlink>
        </w:p>
        <w:p w14:paraId="6C01A5FE" w14:textId="46957242" w:rsidR="005D70E5" w:rsidRPr="005436B0" w:rsidRDefault="005D70E5" w:rsidP="005436B0">
          <w:pPr>
            <w:pStyle w:val="TOC1"/>
            <w:rPr>
              <w:rFonts w:asciiTheme="minorHAnsi" w:eastAsiaTheme="minorEastAsia" w:hAnsiTheme="minorHAnsi" w:cstheme="minorBidi"/>
              <w:kern w:val="2"/>
              <w:szCs w:val="24"/>
              <w:lang w:eastAsia="en-GB"/>
              <w14:ligatures w14:val="standardContextual"/>
            </w:rPr>
          </w:pPr>
          <w:hyperlink w:anchor="_Toc218696009" w:history="1">
            <w:r w:rsidRPr="005436B0">
              <w:rPr>
                <w:rStyle w:val="Hyperlink"/>
              </w:rPr>
              <w:t>13</w:t>
            </w:r>
            <w:r w:rsidR="008B5583" w:rsidRPr="005436B0">
              <w:rPr>
                <w:rStyle w:val="Hyperlink"/>
              </w:rPr>
              <w:t>.</w:t>
            </w:r>
            <w:r w:rsidRPr="005436B0">
              <w:rPr>
                <w:rFonts w:asciiTheme="minorHAnsi" w:eastAsiaTheme="minorEastAsia" w:hAnsiTheme="minorHAnsi" w:cstheme="minorBidi"/>
                <w:kern w:val="2"/>
                <w:szCs w:val="24"/>
                <w:lang w:eastAsia="en-GB"/>
                <w14:ligatures w14:val="standardContextual"/>
              </w:rPr>
              <w:tab/>
            </w:r>
            <w:r w:rsidRPr="005436B0">
              <w:rPr>
                <w:rStyle w:val="Hyperlink"/>
              </w:rPr>
              <w:t>Equality Analysis</w:t>
            </w:r>
            <w:r w:rsidRPr="005436B0">
              <w:rPr>
                <w:webHidden/>
              </w:rPr>
              <w:tab/>
            </w:r>
            <w:r w:rsidRPr="005436B0">
              <w:rPr>
                <w:webHidden/>
              </w:rPr>
              <w:fldChar w:fldCharType="begin"/>
            </w:r>
            <w:r w:rsidRPr="005436B0">
              <w:rPr>
                <w:webHidden/>
              </w:rPr>
              <w:instrText xml:space="preserve"> PAGEREF _Toc218696009 \h </w:instrText>
            </w:r>
            <w:r w:rsidRPr="005436B0">
              <w:rPr>
                <w:webHidden/>
              </w:rPr>
            </w:r>
            <w:r w:rsidRPr="005436B0">
              <w:rPr>
                <w:webHidden/>
              </w:rPr>
              <w:fldChar w:fldCharType="separate"/>
            </w:r>
            <w:r w:rsidR="005436B0" w:rsidRPr="005436B0">
              <w:rPr>
                <w:webHidden/>
              </w:rPr>
              <w:t>9</w:t>
            </w:r>
            <w:r w:rsidRPr="005436B0">
              <w:rPr>
                <w:webHidden/>
              </w:rPr>
              <w:fldChar w:fldCharType="end"/>
            </w:r>
          </w:hyperlink>
        </w:p>
        <w:p w14:paraId="1DA6542E" w14:textId="1649FDE2" w:rsidR="000C3DE2" w:rsidRDefault="000C3DE2">
          <w:r>
            <w:rPr>
              <w:b/>
              <w:bCs/>
              <w:noProof/>
            </w:rPr>
            <w:fldChar w:fldCharType="end"/>
          </w:r>
        </w:p>
      </w:sdtContent>
    </w:sdt>
    <w:p w14:paraId="3041E394" w14:textId="77777777" w:rsidR="004365BE" w:rsidRDefault="004365BE" w:rsidP="005436B0">
      <w:pPr>
        <w:pStyle w:val="TOC1"/>
      </w:pPr>
    </w:p>
    <w:p w14:paraId="722B00AE" w14:textId="70AFC9E7" w:rsidR="00EF6097" w:rsidRDefault="00EF6097">
      <w:pPr>
        <w:rPr>
          <w:rFonts w:eastAsiaTheme="minorEastAsia"/>
        </w:rPr>
      </w:pPr>
      <w:r>
        <w:rPr>
          <w:rFonts w:eastAsiaTheme="minorEastAsia"/>
        </w:rPr>
        <w:br w:type="page"/>
      </w:r>
    </w:p>
    <w:p w14:paraId="4E560E4D" w14:textId="72BFAEB4" w:rsidR="00557A96" w:rsidRPr="00EF6097" w:rsidRDefault="009B6819" w:rsidP="009B6819">
      <w:pPr>
        <w:pStyle w:val="Heading1"/>
        <w:numPr>
          <w:ilvl w:val="0"/>
          <w:numId w:val="3"/>
        </w:numPr>
        <w:tabs>
          <w:tab w:val="clear" w:pos="1304"/>
          <w:tab w:val="num" w:pos="1134"/>
        </w:tabs>
        <w:ind w:hanging="1304"/>
      </w:pPr>
      <w:bookmarkStart w:id="1" w:name="_Toc218695997"/>
      <w:r>
        <w:rPr>
          <w:szCs w:val="28"/>
        </w:rPr>
        <w:t>Introduction</w:t>
      </w:r>
      <w:bookmarkEnd w:id="1"/>
    </w:p>
    <w:p w14:paraId="10F0EC16" w14:textId="77777777" w:rsidR="00557A96" w:rsidRDefault="00557A96" w:rsidP="00F128D4"/>
    <w:p w14:paraId="15E8C95A" w14:textId="1F984421" w:rsidR="00557A96" w:rsidRDefault="00911B45" w:rsidP="001F0CA9">
      <w:pPr>
        <w:pStyle w:val="ListParagraph"/>
        <w:numPr>
          <w:ilvl w:val="1"/>
          <w:numId w:val="4"/>
        </w:numPr>
      </w:pPr>
      <w:r>
        <w:t xml:space="preserve">South East Coast Ambulance Service NHS Foundation Trust (the </w:t>
      </w:r>
      <w:r w:rsidRPr="00911B45">
        <w:t>Trust</w:t>
      </w:r>
      <w:r>
        <w:t>)</w:t>
      </w:r>
      <w:r w:rsidR="00206A2E">
        <w:t xml:space="preserve"> </w:t>
      </w:r>
      <w:r>
        <w:t>recognises that sometimes, in order to fill shifts</w:t>
      </w:r>
      <w:r w:rsidR="00391D76">
        <w:t>,</w:t>
      </w:r>
      <w:r>
        <w:t xml:space="preserve"> we may have to offer additional remuneration beyond the contractual entitlements of employees and workers. This is likely to be during periods of</w:t>
      </w:r>
      <w:r w:rsidR="00EF6097">
        <w:t xml:space="preserve"> </w:t>
      </w:r>
      <w:r>
        <w:t>exceptional demand when capacity is low or when specialist skills are needed but not available in order to ensure the smooth and safe running of the service. This document is not contractual but is intended to set out some of the principles around how the Trust may decide to offer additional incentives to fill shifts</w:t>
      </w:r>
      <w:r w:rsidR="005446F6">
        <w:t>.</w:t>
      </w:r>
    </w:p>
    <w:p w14:paraId="5E37E6C6" w14:textId="77777777" w:rsidR="00557A96" w:rsidRDefault="00557A96" w:rsidP="00F128D4"/>
    <w:p w14:paraId="5E735D4F" w14:textId="1E81376C" w:rsidR="00557A96" w:rsidRPr="00557A96" w:rsidRDefault="00C05904" w:rsidP="00941DD9">
      <w:pPr>
        <w:pStyle w:val="Heading1"/>
        <w:numPr>
          <w:ilvl w:val="0"/>
          <w:numId w:val="4"/>
        </w:numPr>
        <w:tabs>
          <w:tab w:val="clear" w:pos="936"/>
          <w:tab w:val="num" w:pos="1134"/>
        </w:tabs>
        <w:ind w:left="1134" w:hanging="1134"/>
        <w:rPr>
          <w:rFonts w:cs="Times New Roman"/>
          <w:szCs w:val="20"/>
        </w:rPr>
      </w:pPr>
      <w:bookmarkStart w:id="2" w:name="_Toc218695998"/>
      <w:r w:rsidRPr="00557A96">
        <w:t>Scope</w:t>
      </w:r>
      <w:bookmarkEnd w:id="2"/>
    </w:p>
    <w:p w14:paraId="54A7529B" w14:textId="77777777" w:rsidR="00557A96" w:rsidRDefault="00557A96" w:rsidP="00F128D4">
      <w:pPr>
        <w:rPr>
          <w:rFonts w:cs="Arial"/>
          <w:szCs w:val="28"/>
        </w:rPr>
      </w:pPr>
    </w:p>
    <w:p w14:paraId="68019CCE" w14:textId="0ACF7AD1" w:rsidR="00557A96" w:rsidRPr="00055814" w:rsidRDefault="00C05904" w:rsidP="001F0CA9">
      <w:pPr>
        <w:pStyle w:val="ListParagraph"/>
        <w:numPr>
          <w:ilvl w:val="1"/>
          <w:numId w:val="4"/>
        </w:numPr>
        <w:rPr>
          <w:b/>
          <w:bCs/>
          <w:szCs w:val="28"/>
        </w:rPr>
      </w:pPr>
      <w:r w:rsidRPr="00055814">
        <w:rPr>
          <w:b/>
          <w:bCs/>
          <w:szCs w:val="28"/>
        </w:rPr>
        <w:t>Eligibility for</w:t>
      </w:r>
      <w:r w:rsidR="00B361AA" w:rsidRPr="00055814">
        <w:rPr>
          <w:b/>
          <w:bCs/>
          <w:szCs w:val="28"/>
        </w:rPr>
        <w:t xml:space="preserve"> Shift </w:t>
      </w:r>
      <w:r w:rsidRPr="00055814">
        <w:rPr>
          <w:b/>
          <w:bCs/>
          <w:szCs w:val="28"/>
        </w:rPr>
        <w:t>Incentive Payments</w:t>
      </w:r>
    </w:p>
    <w:p w14:paraId="39E3F7AD" w14:textId="77777777" w:rsidR="00557A96" w:rsidRDefault="00557A96" w:rsidP="00F128D4">
      <w:pPr>
        <w:rPr>
          <w:rFonts w:cs="Arial"/>
          <w:szCs w:val="28"/>
        </w:rPr>
      </w:pPr>
    </w:p>
    <w:p w14:paraId="52E4574F" w14:textId="20E986C5" w:rsidR="00557A96" w:rsidRPr="00055814" w:rsidRDefault="00C05904" w:rsidP="009F2999">
      <w:pPr>
        <w:pStyle w:val="ListParagraph"/>
        <w:numPr>
          <w:ilvl w:val="2"/>
          <w:numId w:val="4"/>
        </w:numPr>
        <w:tabs>
          <w:tab w:val="clear" w:pos="936"/>
        </w:tabs>
        <w:ind w:left="1134" w:hanging="1134"/>
        <w:rPr>
          <w:szCs w:val="28"/>
        </w:rPr>
      </w:pPr>
      <w:r w:rsidRPr="00055814">
        <w:rPr>
          <w:rFonts w:eastAsia="Calibri"/>
        </w:rPr>
        <w:t xml:space="preserve">This Policy applies to all </w:t>
      </w:r>
      <w:r w:rsidR="00C60333" w:rsidRPr="00055814">
        <w:rPr>
          <w:rFonts w:eastAsia="Calibri"/>
        </w:rPr>
        <w:t>colleagues</w:t>
      </w:r>
      <w:r w:rsidRPr="00055814">
        <w:rPr>
          <w:rFonts w:eastAsia="Calibri"/>
        </w:rPr>
        <w:t xml:space="preserve"> employed by the Trust and Bank </w:t>
      </w:r>
      <w:r w:rsidR="006C23F4" w:rsidRPr="00055814">
        <w:rPr>
          <w:rFonts w:eastAsia="Calibri"/>
        </w:rPr>
        <w:t>Colleagues</w:t>
      </w:r>
      <w:r w:rsidRPr="00055814">
        <w:rPr>
          <w:rFonts w:eastAsia="Calibri"/>
        </w:rPr>
        <w:t xml:space="preserve"> operating under NHS National terms and conditions</w:t>
      </w:r>
      <w:r w:rsidR="00B361AA" w:rsidRPr="00055814">
        <w:rPr>
          <w:rFonts w:eastAsia="Calibri"/>
        </w:rPr>
        <w:t>.</w:t>
      </w:r>
    </w:p>
    <w:p w14:paraId="30B6D38E" w14:textId="77777777" w:rsidR="00557A96" w:rsidRDefault="00557A96" w:rsidP="009F2999">
      <w:pPr>
        <w:ind w:left="936" w:hanging="936"/>
        <w:rPr>
          <w:rFonts w:eastAsia="Calibri" w:cs="Arial"/>
          <w:szCs w:val="24"/>
        </w:rPr>
      </w:pPr>
    </w:p>
    <w:p w14:paraId="7749FD97" w14:textId="702D8698" w:rsidR="00557A96" w:rsidRPr="00055814" w:rsidRDefault="00C05904" w:rsidP="009F2999">
      <w:pPr>
        <w:pStyle w:val="ListParagraph"/>
        <w:numPr>
          <w:ilvl w:val="2"/>
          <w:numId w:val="4"/>
        </w:numPr>
        <w:tabs>
          <w:tab w:val="clear" w:pos="936"/>
          <w:tab w:val="num" w:pos="1134"/>
        </w:tabs>
        <w:ind w:left="1134" w:hanging="1134"/>
        <w:rPr>
          <w:rFonts w:eastAsia="Calibri"/>
        </w:rPr>
      </w:pPr>
      <w:r w:rsidRPr="00055814">
        <w:rPr>
          <w:rFonts w:eastAsia="Calibri"/>
        </w:rPr>
        <w:t>Senior Managers paid under bands 8a-9, or Very Senior Managers (VSM) scale, are not entitled to additional/overtime payments</w:t>
      </w:r>
      <w:r w:rsidR="002804AC" w:rsidRPr="00055814">
        <w:rPr>
          <w:rFonts w:eastAsia="Calibri"/>
        </w:rPr>
        <w:t xml:space="preserve"> in these pay</w:t>
      </w:r>
      <w:r w:rsidR="001B3276">
        <w:rPr>
          <w:rFonts w:eastAsia="Calibri"/>
        </w:rPr>
        <w:t xml:space="preserve"> </w:t>
      </w:r>
      <w:r w:rsidR="002804AC" w:rsidRPr="00055814">
        <w:rPr>
          <w:rFonts w:eastAsia="Calibri"/>
        </w:rPr>
        <w:t>bands</w:t>
      </w:r>
      <w:r w:rsidR="001B3276">
        <w:rPr>
          <w:rFonts w:eastAsia="Calibri"/>
        </w:rPr>
        <w:t xml:space="preserve">, </w:t>
      </w:r>
      <w:r w:rsidRPr="00055814">
        <w:rPr>
          <w:rFonts w:eastAsia="Calibri"/>
        </w:rPr>
        <w:t>except in the</w:t>
      </w:r>
      <w:r w:rsidR="00557A96" w:rsidRPr="00055814">
        <w:rPr>
          <w:rFonts w:eastAsia="Calibri"/>
        </w:rPr>
        <w:t xml:space="preserve"> </w:t>
      </w:r>
      <w:r w:rsidRPr="00055814">
        <w:rPr>
          <w:rFonts w:eastAsia="Calibri"/>
        </w:rPr>
        <w:t xml:space="preserve">event of on-call call-out, for which the principles of Annex 29 of the </w:t>
      </w:r>
      <w:hyperlink r:id="rId11" w:history="1">
        <w:r w:rsidRPr="00055814">
          <w:rPr>
            <w:rStyle w:val="Hyperlink"/>
            <w:rFonts w:eastAsia="Calibri"/>
          </w:rPr>
          <w:t>National Terms and Conditions Handbook</w:t>
        </w:r>
      </w:hyperlink>
      <w:r w:rsidRPr="00055814">
        <w:rPr>
          <w:rFonts w:eastAsia="Calibri"/>
        </w:rPr>
        <w:t xml:space="preserve"> will apply.</w:t>
      </w:r>
      <w:bookmarkStart w:id="3" w:name="_Toc520119851"/>
    </w:p>
    <w:p w14:paraId="4E56C14B" w14:textId="77777777" w:rsidR="00557A96" w:rsidRDefault="00557A96" w:rsidP="00F128D4">
      <w:pPr>
        <w:rPr>
          <w:rFonts w:eastAsia="Calibri" w:cs="Arial"/>
          <w:szCs w:val="24"/>
        </w:rPr>
      </w:pPr>
    </w:p>
    <w:p w14:paraId="4635CC21" w14:textId="566E6F9B" w:rsidR="007474C3" w:rsidRPr="00557A96" w:rsidRDefault="007A7767" w:rsidP="001B3276">
      <w:pPr>
        <w:pStyle w:val="Heading1"/>
        <w:numPr>
          <w:ilvl w:val="0"/>
          <w:numId w:val="4"/>
        </w:numPr>
        <w:tabs>
          <w:tab w:val="clear" w:pos="936"/>
        </w:tabs>
        <w:ind w:left="1134" w:hanging="1134"/>
        <w:rPr>
          <w:rFonts w:eastAsia="Calibri"/>
          <w:szCs w:val="24"/>
        </w:rPr>
      </w:pPr>
      <w:bookmarkStart w:id="4" w:name="_Toc218695999"/>
      <w:bookmarkEnd w:id="3"/>
      <w:r>
        <w:t>Policy Statement</w:t>
      </w:r>
      <w:bookmarkEnd w:id="4"/>
    </w:p>
    <w:p w14:paraId="1F53F090" w14:textId="77777777" w:rsidR="007474C3" w:rsidRDefault="007474C3" w:rsidP="00F128D4">
      <w:pPr>
        <w:rPr>
          <w:rFonts w:cs="Arial"/>
          <w:szCs w:val="28"/>
        </w:rPr>
      </w:pPr>
    </w:p>
    <w:p w14:paraId="0FCA327B" w14:textId="0929DDFA" w:rsidR="007474C3" w:rsidRPr="00055814" w:rsidRDefault="00911B45" w:rsidP="001F0CA9">
      <w:pPr>
        <w:pStyle w:val="ListParagraph"/>
        <w:numPr>
          <w:ilvl w:val="1"/>
          <w:numId w:val="4"/>
        </w:numPr>
        <w:rPr>
          <w:szCs w:val="28"/>
        </w:rPr>
      </w:pPr>
      <w:r>
        <w:t>In certain circumstances there may be a staffing shortfall in particular shifts at certain</w:t>
      </w:r>
      <w:r w:rsidR="00E30BEE">
        <w:t xml:space="preserve"> </w:t>
      </w:r>
      <w:r>
        <w:t>days or times or because of a lack of required specialist skills. In these circumstances, the Trust</w:t>
      </w:r>
      <w:r w:rsidRPr="00E03E6A">
        <w:t xml:space="preserve"> may </w:t>
      </w:r>
      <w:r>
        <w:t>be required to find individuals to cover these shifts at relatively short notice.</w:t>
      </w:r>
    </w:p>
    <w:p w14:paraId="0D4AC764" w14:textId="77777777" w:rsidR="007474C3" w:rsidRDefault="007474C3" w:rsidP="00F128D4"/>
    <w:p w14:paraId="10E3E522" w14:textId="2F764FC2" w:rsidR="007474C3" w:rsidRDefault="00911B45" w:rsidP="001F0CA9">
      <w:pPr>
        <w:pStyle w:val="ListParagraph"/>
        <w:numPr>
          <w:ilvl w:val="1"/>
          <w:numId w:val="4"/>
        </w:numPr>
      </w:pPr>
      <w:r>
        <w:t>The Trust has determined that where exceptionally additional shifts are offered, they will</w:t>
      </w:r>
      <w:r w:rsidR="00E30BEE">
        <w:t xml:space="preserve"> </w:t>
      </w:r>
      <w:r>
        <w:t>attract a pay premium (over and above payment due on a contractual basis to the worker)</w:t>
      </w:r>
      <w:r w:rsidR="00997B11">
        <w:t xml:space="preserve">. </w:t>
      </w:r>
      <w:r>
        <w:t>These shifts will be known as "incentive shifts".</w:t>
      </w:r>
    </w:p>
    <w:p w14:paraId="71975044" w14:textId="77777777" w:rsidR="007474C3" w:rsidRDefault="007474C3" w:rsidP="00F128D4"/>
    <w:p w14:paraId="74D2C3BE" w14:textId="06F63DCE" w:rsidR="007474C3" w:rsidRDefault="00911B45" w:rsidP="001F0CA9">
      <w:pPr>
        <w:pStyle w:val="ListParagraph"/>
        <w:numPr>
          <w:ilvl w:val="1"/>
          <w:numId w:val="4"/>
        </w:numPr>
      </w:pPr>
      <w:r>
        <w:t xml:space="preserve">Incentive shifts will be advertised by the Trust as and when the need for them </w:t>
      </w:r>
      <w:r w:rsidR="005A0E28">
        <w:t>arises and</w:t>
      </w:r>
      <w:r>
        <w:t xml:space="preserve"> will be open to acceptance by any </w:t>
      </w:r>
      <w:proofErr w:type="spellStart"/>
      <w:r w:rsidR="00C60333">
        <w:t>collegue</w:t>
      </w:r>
      <w:proofErr w:type="spellEnd"/>
      <w:r>
        <w:t xml:space="preserve"> at the Trust, provided they match the role profile of the individual required to cover the shift.</w:t>
      </w:r>
      <w:r w:rsidR="007474C3">
        <w:t xml:space="preserve"> </w:t>
      </w:r>
      <w:r>
        <w:t xml:space="preserve">Incentive shifts will also be offered to bank </w:t>
      </w:r>
      <w:r w:rsidR="00C60333">
        <w:t>colleagues</w:t>
      </w:r>
      <w:r w:rsidRPr="00511ED9">
        <w:t xml:space="preserve"> </w:t>
      </w:r>
      <w:r>
        <w:t>in the same way. Individuals are not obliged to accept any incentive shift offered in this way.</w:t>
      </w:r>
    </w:p>
    <w:p w14:paraId="6DD71D8C" w14:textId="77777777" w:rsidR="007474C3" w:rsidRDefault="007474C3" w:rsidP="00F128D4"/>
    <w:p w14:paraId="48555DC0" w14:textId="65BC7E86" w:rsidR="007474C3" w:rsidRDefault="00911B45" w:rsidP="001F0CA9">
      <w:pPr>
        <w:pStyle w:val="ListParagraph"/>
        <w:numPr>
          <w:ilvl w:val="1"/>
          <w:numId w:val="4"/>
        </w:numPr>
      </w:pPr>
      <w:r>
        <w:t>These incentive shifts are offered at the absolute discretion of the Trust and there is no obligation on the Trust to offer any incentive shifts. The Trust will not guarantee the number or availability of incentive shifts in any given week.</w:t>
      </w:r>
    </w:p>
    <w:p w14:paraId="5D7698E7" w14:textId="77777777" w:rsidR="007474C3" w:rsidRDefault="007474C3" w:rsidP="00F128D4"/>
    <w:p w14:paraId="1F0B66F5" w14:textId="2D8AD2CE" w:rsidR="007474C3" w:rsidRPr="007474C3" w:rsidRDefault="00C477EF" w:rsidP="001F0CA9">
      <w:pPr>
        <w:pStyle w:val="ListParagraph"/>
        <w:numPr>
          <w:ilvl w:val="1"/>
          <w:numId w:val="4"/>
        </w:numPr>
        <w:rPr>
          <w:rFonts w:cs="Times New Roman"/>
          <w:szCs w:val="20"/>
        </w:rPr>
      </w:pPr>
      <w:r w:rsidRPr="00055814">
        <w:rPr>
          <w:rFonts w:eastAsia="Calibri"/>
          <w:color w:val="000000"/>
        </w:rPr>
        <w:t xml:space="preserve">To ensure that </w:t>
      </w:r>
      <w:r w:rsidR="006C23F4" w:rsidRPr="00055814">
        <w:rPr>
          <w:rFonts w:eastAsia="Calibri"/>
          <w:color w:val="000000"/>
        </w:rPr>
        <w:t>colleagues</w:t>
      </w:r>
      <w:r w:rsidRPr="00055814">
        <w:rPr>
          <w:rFonts w:eastAsia="Calibri"/>
          <w:color w:val="000000"/>
        </w:rPr>
        <w:t xml:space="preserve"> </w:t>
      </w:r>
      <w:r w:rsidRPr="00055814">
        <w:rPr>
          <w:rFonts w:eastAsia="Calibri"/>
        </w:rPr>
        <w:t xml:space="preserve">are not working excessive hours, which may result in an adverse effect upon their health, wellbeing or ability to practice safely in their role </w:t>
      </w:r>
      <w:r w:rsidRPr="00055814">
        <w:rPr>
          <w:rFonts w:eastAsia="Calibri"/>
          <w:color w:val="000000"/>
        </w:rPr>
        <w:t xml:space="preserve">with the Working Time </w:t>
      </w:r>
      <w:r w:rsidR="005C2889">
        <w:rPr>
          <w:rFonts w:eastAsia="Calibri"/>
          <w:color w:val="000000"/>
        </w:rPr>
        <w:t>Directive</w:t>
      </w:r>
      <w:r w:rsidRPr="00055814">
        <w:rPr>
          <w:rFonts w:eastAsia="Calibri"/>
          <w:color w:val="000000"/>
        </w:rPr>
        <w:t>,</w:t>
      </w:r>
      <w:r w:rsidR="00B94A60" w:rsidRPr="00055814">
        <w:rPr>
          <w:rFonts w:eastAsia="Calibri"/>
          <w:color w:val="000000"/>
        </w:rPr>
        <w:t xml:space="preserve"> </w:t>
      </w:r>
      <w:r w:rsidR="00AE5D45" w:rsidRPr="00055814">
        <w:rPr>
          <w:rFonts w:eastAsia="Calibri"/>
          <w:color w:val="000000"/>
        </w:rPr>
        <w:t>incentive shifts</w:t>
      </w:r>
      <w:r w:rsidRPr="00055814">
        <w:rPr>
          <w:rFonts w:eastAsia="Calibri"/>
          <w:color w:val="000000"/>
        </w:rPr>
        <w:t xml:space="preserve"> may be restricted </w:t>
      </w:r>
      <w:r w:rsidR="00B94A60" w:rsidRPr="00055814">
        <w:rPr>
          <w:rFonts w:eastAsia="Calibri"/>
          <w:color w:val="000000"/>
        </w:rPr>
        <w:t xml:space="preserve">in lie with the Trust’s </w:t>
      </w:r>
      <w:r w:rsidR="00B94A60" w:rsidRPr="00C30A5F">
        <w:rPr>
          <w:rFonts w:eastAsia="Calibri"/>
        </w:rPr>
        <w:t>Overtime policy</w:t>
      </w:r>
      <w:r w:rsidR="00B94A60" w:rsidRPr="00055814">
        <w:rPr>
          <w:rFonts w:eastAsia="Calibri"/>
          <w:color w:val="000000"/>
        </w:rPr>
        <w:t xml:space="preserve">, where applicable and the </w:t>
      </w:r>
      <w:r w:rsidR="00B94A60" w:rsidRPr="00C30A5F">
        <w:rPr>
          <w:rFonts w:eastAsia="Calibri"/>
        </w:rPr>
        <w:t>Working Time Directive Policy</w:t>
      </w:r>
      <w:r w:rsidRPr="00055814">
        <w:rPr>
          <w:rFonts w:eastAsia="Arial"/>
          <w:color w:val="000000"/>
        </w:rPr>
        <w:t xml:space="preserve">. </w:t>
      </w:r>
      <w:r w:rsidRPr="00055814">
        <w:rPr>
          <w:rFonts w:eastAsia="Calibri"/>
        </w:rPr>
        <w:t>For these purposes, hours worked will include any secondary employment or voluntary duties.</w:t>
      </w:r>
      <w:bookmarkStart w:id="5" w:name="_Toc520119864"/>
    </w:p>
    <w:p w14:paraId="3657B520" w14:textId="77777777" w:rsidR="007474C3" w:rsidRDefault="007474C3" w:rsidP="00F128D4">
      <w:pPr>
        <w:rPr>
          <w:rFonts w:eastAsia="Calibri" w:cs="Arial"/>
          <w:szCs w:val="24"/>
        </w:rPr>
      </w:pPr>
    </w:p>
    <w:p w14:paraId="761E6B1F" w14:textId="13797A5B" w:rsidR="007474C3" w:rsidRPr="007474C3" w:rsidRDefault="00BB2357" w:rsidP="00523885">
      <w:pPr>
        <w:pStyle w:val="Heading1"/>
        <w:numPr>
          <w:ilvl w:val="0"/>
          <w:numId w:val="4"/>
        </w:numPr>
        <w:tabs>
          <w:tab w:val="clear" w:pos="936"/>
          <w:tab w:val="num" w:pos="1134"/>
        </w:tabs>
        <w:ind w:left="1134" w:hanging="1134"/>
        <w:rPr>
          <w:rFonts w:eastAsia="Calibri"/>
          <w:szCs w:val="24"/>
        </w:rPr>
      </w:pPr>
      <w:bookmarkStart w:id="6" w:name="_Toc218696000"/>
      <w:r w:rsidRPr="007474C3">
        <w:t>Responsibilities</w:t>
      </w:r>
      <w:bookmarkEnd w:id="5"/>
      <w:bookmarkEnd w:id="6"/>
    </w:p>
    <w:p w14:paraId="1403DC4B" w14:textId="77777777" w:rsidR="007474C3" w:rsidRDefault="007474C3" w:rsidP="00F128D4">
      <w:pPr>
        <w:rPr>
          <w:rFonts w:cs="Arial"/>
          <w:szCs w:val="28"/>
        </w:rPr>
      </w:pPr>
    </w:p>
    <w:p w14:paraId="183260BA" w14:textId="3825E24B" w:rsidR="007474C3" w:rsidRPr="00055814" w:rsidRDefault="00606569" w:rsidP="001F0CA9">
      <w:pPr>
        <w:pStyle w:val="ListParagraph"/>
        <w:numPr>
          <w:ilvl w:val="1"/>
          <w:numId w:val="4"/>
        </w:numPr>
        <w:rPr>
          <w:szCs w:val="28"/>
        </w:rPr>
      </w:pPr>
      <w:r w:rsidRPr="00055814">
        <w:t xml:space="preserve">The </w:t>
      </w:r>
      <w:bookmarkStart w:id="7" w:name="_Hlk131154791"/>
      <w:r w:rsidR="00901EFF">
        <w:t>Chief People Officer</w:t>
      </w:r>
      <w:r w:rsidR="00F96982" w:rsidRPr="00055814">
        <w:t xml:space="preserve"> </w:t>
      </w:r>
      <w:bookmarkEnd w:id="7"/>
      <w:r w:rsidRPr="00055814">
        <w:t>will be accountable for the effective</w:t>
      </w:r>
      <w:r w:rsidR="00F96982" w:rsidRPr="00055814">
        <w:t xml:space="preserve"> </w:t>
      </w:r>
      <w:r w:rsidRPr="00055814">
        <w:t>implementation and monitoring of this policy</w:t>
      </w:r>
      <w:r w:rsidR="00276EA3" w:rsidRPr="00055814">
        <w:t>.</w:t>
      </w:r>
    </w:p>
    <w:p w14:paraId="51A36728" w14:textId="77777777" w:rsidR="007474C3" w:rsidRDefault="007474C3" w:rsidP="00F128D4">
      <w:pPr>
        <w:rPr>
          <w:rFonts w:cs="Arial"/>
        </w:rPr>
      </w:pPr>
    </w:p>
    <w:p w14:paraId="49688FD7" w14:textId="77777777" w:rsidR="00550D2F" w:rsidRDefault="00FC06F7" w:rsidP="00550D2F">
      <w:pPr>
        <w:pStyle w:val="ListParagraph"/>
        <w:numPr>
          <w:ilvl w:val="1"/>
          <w:numId w:val="4"/>
        </w:numPr>
      </w:pPr>
      <w:r w:rsidRPr="00055814">
        <w:t>The</w:t>
      </w:r>
      <w:r w:rsidR="00FA7FD3" w:rsidRPr="00FA7FD3">
        <w:t xml:space="preserve"> </w:t>
      </w:r>
      <w:r w:rsidR="00FA7FD3" w:rsidRPr="00055814">
        <w:rPr>
          <w:bCs/>
        </w:rPr>
        <w:t>Chief Finance Officer</w:t>
      </w:r>
      <w:r w:rsidRPr="00055814">
        <w:t xml:space="preserve"> </w:t>
      </w:r>
      <w:r w:rsidR="00276EA3" w:rsidRPr="00055814">
        <w:t>and</w:t>
      </w:r>
      <w:r w:rsidR="00F96982" w:rsidRPr="00055814">
        <w:t xml:space="preserve"> </w:t>
      </w:r>
      <w:r w:rsidR="00901EFF">
        <w:t>Chief People Officer</w:t>
      </w:r>
      <w:r w:rsidR="00276EA3" w:rsidRPr="00055814">
        <w:t xml:space="preserve"> </w:t>
      </w:r>
      <w:r w:rsidRPr="00055814">
        <w:t xml:space="preserve">will be </w:t>
      </w:r>
      <w:r w:rsidR="00276EA3" w:rsidRPr="00055814">
        <w:t xml:space="preserve">jointly </w:t>
      </w:r>
      <w:r w:rsidRPr="00055814">
        <w:t>responsible for authorising each incentive shift package and the time periods that this will cover, including any extensions</w:t>
      </w:r>
      <w:r w:rsidR="007474C3" w:rsidRPr="00055814">
        <w:t>.</w:t>
      </w:r>
    </w:p>
    <w:p w14:paraId="4B62FA74" w14:textId="77777777" w:rsidR="00550D2F" w:rsidRPr="00550D2F" w:rsidRDefault="00550D2F" w:rsidP="00550D2F">
      <w:pPr>
        <w:pStyle w:val="ListParagraph"/>
        <w:rPr>
          <w:rFonts w:eastAsia="Calibri"/>
        </w:rPr>
      </w:pPr>
    </w:p>
    <w:p w14:paraId="76B28953" w14:textId="77777777" w:rsidR="00550D2F" w:rsidRPr="00550D2F" w:rsidRDefault="00606569" w:rsidP="00550D2F">
      <w:pPr>
        <w:pStyle w:val="ListParagraph"/>
        <w:numPr>
          <w:ilvl w:val="1"/>
          <w:numId w:val="4"/>
        </w:numPr>
        <w:rPr>
          <w:b/>
          <w:bCs/>
        </w:rPr>
      </w:pPr>
      <w:r w:rsidRPr="00550D2F">
        <w:rPr>
          <w:rFonts w:eastAsia="Calibri"/>
          <w:b/>
          <w:bCs/>
        </w:rPr>
        <w:t>Employee</w:t>
      </w:r>
      <w:r w:rsidR="00550D2F" w:rsidRPr="00550D2F">
        <w:rPr>
          <w:rFonts w:eastAsia="Calibri"/>
          <w:b/>
          <w:bCs/>
        </w:rPr>
        <w:t>/Individuals</w:t>
      </w:r>
    </w:p>
    <w:p w14:paraId="3A4B3162" w14:textId="77777777" w:rsidR="00550D2F" w:rsidRPr="00550D2F" w:rsidRDefault="00550D2F" w:rsidP="00550D2F">
      <w:pPr>
        <w:pStyle w:val="ListParagraph"/>
        <w:rPr>
          <w:rFonts w:eastAsia="Calibri"/>
        </w:rPr>
      </w:pPr>
    </w:p>
    <w:p w14:paraId="04FD9BC9" w14:textId="60E2666A" w:rsidR="00550D2F" w:rsidRPr="0015148F" w:rsidRDefault="00103386" w:rsidP="00550D2F">
      <w:pPr>
        <w:pStyle w:val="ListParagraph"/>
        <w:numPr>
          <w:ilvl w:val="2"/>
          <w:numId w:val="4"/>
        </w:numPr>
        <w:tabs>
          <w:tab w:val="clear" w:pos="936"/>
          <w:tab w:val="num" w:pos="1134"/>
        </w:tabs>
        <w:ind w:left="1134" w:hanging="1134"/>
        <w:rPr>
          <w:b/>
          <w:bCs/>
        </w:rPr>
      </w:pPr>
      <w:r w:rsidRPr="00550D2F">
        <w:rPr>
          <w:rFonts w:eastAsia="Calibri"/>
        </w:rPr>
        <w:t xml:space="preserve">All </w:t>
      </w:r>
      <w:r w:rsidR="006C23F4" w:rsidRPr="00550D2F">
        <w:rPr>
          <w:rFonts w:eastAsia="Calibri"/>
        </w:rPr>
        <w:t>colleagues</w:t>
      </w:r>
      <w:r w:rsidRPr="00550D2F">
        <w:rPr>
          <w:rFonts w:eastAsia="Calibri"/>
        </w:rPr>
        <w:t xml:space="preserve"> m</w:t>
      </w:r>
      <w:r w:rsidR="00606569" w:rsidRPr="00550D2F">
        <w:rPr>
          <w:rFonts w:eastAsia="Calibri"/>
        </w:rPr>
        <w:t xml:space="preserve">ust have due regard for their own health and safety and ensure they do not work excessive hours which could result in a negative impact on their health, well-being or performance at work. All </w:t>
      </w:r>
      <w:r w:rsidR="006C23F4" w:rsidRPr="00550D2F">
        <w:rPr>
          <w:rFonts w:eastAsia="Calibri"/>
        </w:rPr>
        <w:t>colleagues</w:t>
      </w:r>
      <w:r w:rsidR="00606569" w:rsidRPr="00550D2F">
        <w:rPr>
          <w:rFonts w:eastAsia="Calibri"/>
        </w:rPr>
        <w:t xml:space="preserve"> should also ensure they do not place themselves at risk of breaching the European Working Time Regulations, as outlined in the Trust's </w:t>
      </w:r>
      <w:r w:rsidR="00AD133B" w:rsidRPr="00AD133B">
        <w:rPr>
          <w:rFonts w:eastAsia="Calibri"/>
        </w:rPr>
        <w:t>Wor</w:t>
      </w:r>
      <w:r w:rsidR="00AD133B">
        <w:rPr>
          <w:rFonts w:eastAsia="Calibri"/>
        </w:rPr>
        <w:t>king Time Directive Policy</w:t>
      </w:r>
      <w:r w:rsidR="00606569" w:rsidRPr="00550D2F">
        <w:rPr>
          <w:rFonts w:eastAsia="Calibri"/>
        </w:rPr>
        <w:t xml:space="preserve">. </w:t>
      </w:r>
      <w:r w:rsidR="0052136B" w:rsidRPr="00550D2F">
        <w:rPr>
          <w:rFonts w:eastAsia="Calibri"/>
        </w:rPr>
        <w:t xml:space="preserve">As per the Trust’s </w:t>
      </w:r>
      <w:bookmarkStart w:id="8" w:name="_Hlk131155685"/>
      <w:r w:rsidR="0052136B" w:rsidRPr="00962AAE">
        <w:rPr>
          <w:rFonts w:eastAsia="Calibri"/>
        </w:rPr>
        <w:t>Declarations of Interests, Gifts, Hospitality and Incentives Policy,</w:t>
      </w:r>
      <w:bookmarkEnd w:id="8"/>
      <w:r w:rsidR="0052136B" w:rsidRPr="00550D2F">
        <w:rPr>
          <w:rFonts w:eastAsia="Calibri"/>
        </w:rPr>
        <w:t xml:space="preserve"> </w:t>
      </w:r>
      <w:r w:rsidR="00606569" w:rsidRPr="00550D2F">
        <w:rPr>
          <w:rFonts w:eastAsia="Calibri"/>
        </w:rPr>
        <w:t xml:space="preserve">employees must </w:t>
      </w:r>
      <w:r w:rsidR="0052136B" w:rsidRPr="00550D2F">
        <w:rPr>
          <w:rFonts w:eastAsia="Calibri"/>
        </w:rPr>
        <w:t xml:space="preserve">complete a declaration and </w:t>
      </w:r>
      <w:r w:rsidR="00606569" w:rsidRPr="00550D2F">
        <w:rPr>
          <w:rFonts w:eastAsia="Calibri"/>
        </w:rPr>
        <w:t>notify their line manager if they intend to take on additional paid secondary employments</w:t>
      </w:r>
    </w:p>
    <w:p w14:paraId="773D5852" w14:textId="77777777" w:rsidR="0015148F" w:rsidRPr="00550D2F" w:rsidRDefault="0015148F" w:rsidP="0015148F">
      <w:pPr>
        <w:pStyle w:val="ListParagraph"/>
        <w:ind w:left="1134"/>
        <w:rPr>
          <w:b/>
          <w:bCs/>
        </w:rPr>
      </w:pPr>
    </w:p>
    <w:p w14:paraId="0522E69B" w14:textId="46173FF6" w:rsidR="007474C3" w:rsidRPr="00550D2F" w:rsidRDefault="00C60333" w:rsidP="00550D2F">
      <w:pPr>
        <w:pStyle w:val="ListParagraph"/>
        <w:numPr>
          <w:ilvl w:val="2"/>
          <w:numId w:val="4"/>
        </w:numPr>
        <w:tabs>
          <w:tab w:val="clear" w:pos="936"/>
          <w:tab w:val="num" w:pos="1134"/>
        </w:tabs>
        <w:ind w:left="1134" w:hanging="1134"/>
        <w:rPr>
          <w:b/>
          <w:bCs/>
        </w:rPr>
      </w:pPr>
      <w:r w:rsidRPr="00550D2F">
        <w:rPr>
          <w:rFonts w:eastAsia="Calibri"/>
        </w:rPr>
        <w:t>Colleagues</w:t>
      </w:r>
      <w:r w:rsidR="0052136B" w:rsidRPr="00550D2F">
        <w:rPr>
          <w:rFonts w:eastAsia="Calibri"/>
        </w:rPr>
        <w:t xml:space="preserve"> must</w:t>
      </w:r>
      <w:r w:rsidR="00950ABE" w:rsidRPr="00550D2F">
        <w:rPr>
          <w:rFonts w:eastAsia="Calibri"/>
        </w:rPr>
        <w:t xml:space="preserve"> e</w:t>
      </w:r>
      <w:r w:rsidR="002931DD" w:rsidRPr="00550D2F">
        <w:rPr>
          <w:rFonts w:eastAsia="Calibri"/>
        </w:rPr>
        <w:t>nter the details of the</w:t>
      </w:r>
      <w:r w:rsidR="00F46ADD" w:rsidRPr="00550D2F">
        <w:rPr>
          <w:rFonts w:eastAsia="Calibri"/>
        </w:rPr>
        <w:t xml:space="preserve"> incentive shift onto </w:t>
      </w:r>
      <w:r w:rsidR="003904B4" w:rsidRPr="00550D2F">
        <w:rPr>
          <w:rFonts w:eastAsia="Calibri"/>
        </w:rPr>
        <w:t xml:space="preserve">their </w:t>
      </w:r>
      <w:r w:rsidR="00B94A60" w:rsidRPr="00550D2F">
        <w:rPr>
          <w:rFonts w:eastAsia="Calibri"/>
        </w:rPr>
        <w:t xml:space="preserve">timesheet/ </w:t>
      </w:r>
      <w:r w:rsidR="003904B4" w:rsidRPr="00550D2F">
        <w:rPr>
          <w:rFonts w:eastAsia="Calibri"/>
        </w:rPr>
        <w:t>e-timesheet</w:t>
      </w:r>
      <w:r w:rsidR="00B94A60" w:rsidRPr="00550D2F">
        <w:rPr>
          <w:rFonts w:eastAsia="Calibri"/>
        </w:rPr>
        <w:t>, as applicable.</w:t>
      </w:r>
    </w:p>
    <w:p w14:paraId="35580023" w14:textId="77777777" w:rsidR="007474C3" w:rsidRDefault="007474C3" w:rsidP="00F128D4">
      <w:pPr>
        <w:rPr>
          <w:rFonts w:eastAsia="Calibri" w:cs="Arial"/>
          <w:szCs w:val="24"/>
        </w:rPr>
      </w:pPr>
    </w:p>
    <w:p w14:paraId="7F8BE8D0" w14:textId="26F58E12" w:rsidR="007474C3" w:rsidRPr="00055814" w:rsidRDefault="00606569" w:rsidP="001F0CA9">
      <w:pPr>
        <w:pStyle w:val="ListParagraph"/>
        <w:numPr>
          <w:ilvl w:val="1"/>
          <w:numId w:val="4"/>
        </w:numPr>
        <w:rPr>
          <w:rFonts w:eastAsia="Calibri"/>
          <w:b/>
        </w:rPr>
      </w:pPr>
      <w:r w:rsidRPr="00055814">
        <w:rPr>
          <w:rFonts w:eastAsia="Calibri"/>
          <w:b/>
        </w:rPr>
        <w:t>Scheduling</w:t>
      </w:r>
    </w:p>
    <w:p w14:paraId="1148860D" w14:textId="77777777" w:rsidR="007474C3" w:rsidRDefault="007474C3" w:rsidP="00F128D4">
      <w:pPr>
        <w:rPr>
          <w:rFonts w:cs="Arial"/>
        </w:rPr>
      </w:pPr>
    </w:p>
    <w:p w14:paraId="533852B1" w14:textId="356F7E2E" w:rsidR="007474C3" w:rsidRPr="00055814" w:rsidRDefault="00606569" w:rsidP="006C0F39">
      <w:pPr>
        <w:pStyle w:val="ListParagraph"/>
        <w:numPr>
          <w:ilvl w:val="2"/>
          <w:numId w:val="4"/>
        </w:numPr>
        <w:tabs>
          <w:tab w:val="clear" w:pos="936"/>
          <w:tab w:val="num" w:pos="1134"/>
        </w:tabs>
        <w:ind w:left="1134" w:hanging="1134"/>
        <w:rPr>
          <w:szCs w:val="20"/>
        </w:rPr>
      </w:pPr>
      <w:r w:rsidRPr="00055814">
        <w:t xml:space="preserve">It is the responsibility of the scheduling departments </w:t>
      </w:r>
      <w:r w:rsidRPr="00055814">
        <w:rPr>
          <w:rFonts w:eastAsia="Calibri"/>
        </w:rPr>
        <w:t>to forecast the</w:t>
      </w:r>
      <w:r w:rsidR="00B94A60" w:rsidRPr="00055814">
        <w:rPr>
          <w:rFonts w:eastAsia="Calibri"/>
        </w:rPr>
        <w:t xml:space="preserve"> </w:t>
      </w:r>
      <w:r w:rsidRPr="00055814">
        <w:rPr>
          <w:rFonts w:eastAsia="Calibri"/>
        </w:rPr>
        <w:t>anticipated number of unit hours required for each operational area and ensure resources match this requirement.</w:t>
      </w:r>
    </w:p>
    <w:p w14:paraId="69658421" w14:textId="77777777" w:rsidR="007474C3" w:rsidRDefault="007474C3" w:rsidP="00F128D4">
      <w:pPr>
        <w:rPr>
          <w:rFonts w:eastAsia="Calibri" w:cs="Arial"/>
          <w:szCs w:val="24"/>
        </w:rPr>
      </w:pPr>
    </w:p>
    <w:p w14:paraId="27DEE994" w14:textId="32C9238C" w:rsidR="007474C3" w:rsidRPr="00055814" w:rsidRDefault="00606569" w:rsidP="006C0F39">
      <w:pPr>
        <w:pStyle w:val="ListParagraph"/>
        <w:numPr>
          <w:ilvl w:val="2"/>
          <w:numId w:val="4"/>
        </w:numPr>
        <w:tabs>
          <w:tab w:val="clear" w:pos="936"/>
          <w:tab w:val="num" w:pos="1134"/>
        </w:tabs>
        <w:ind w:left="1134" w:hanging="1134"/>
        <w:rPr>
          <w:rFonts w:eastAsia="Calibri"/>
        </w:rPr>
      </w:pPr>
      <w:r w:rsidRPr="00055814">
        <w:t xml:space="preserve">To authorise all operational </w:t>
      </w:r>
      <w:r w:rsidR="00A43A74" w:rsidRPr="00055814">
        <w:t>incentive shifts</w:t>
      </w:r>
      <w:r w:rsidRPr="00055814">
        <w:t>.</w:t>
      </w:r>
    </w:p>
    <w:p w14:paraId="5B9F0548" w14:textId="77777777" w:rsidR="007474C3" w:rsidRDefault="007474C3" w:rsidP="00F128D4">
      <w:pPr>
        <w:rPr>
          <w:rFonts w:cs="Arial"/>
          <w:szCs w:val="24"/>
        </w:rPr>
      </w:pPr>
    </w:p>
    <w:p w14:paraId="5224DF03" w14:textId="2DB38917" w:rsidR="007474C3" w:rsidRPr="00116055" w:rsidRDefault="00606569" w:rsidP="001F0CA9">
      <w:pPr>
        <w:pStyle w:val="ListParagraph"/>
        <w:numPr>
          <w:ilvl w:val="1"/>
          <w:numId w:val="4"/>
        </w:numPr>
        <w:rPr>
          <w:b/>
          <w:bCs/>
          <w:lang w:eastAsia="en-US"/>
        </w:rPr>
      </w:pPr>
      <w:r w:rsidRPr="00116055">
        <w:rPr>
          <w:rFonts w:eastAsia="Calibri"/>
          <w:b/>
          <w:bCs/>
          <w:color w:val="000000"/>
        </w:rPr>
        <w:t>Line Managers</w:t>
      </w:r>
    </w:p>
    <w:p w14:paraId="011F8C6C" w14:textId="77777777" w:rsidR="007474C3" w:rsidRDefault="007474C3" w:rsidP="00F128D4">
      <w:pPr>
        <w:rPr>
          <w:rFonts w:eastAsia="Calibri" w:cs="Arial"/>
          <w:color w:val="000000"/>
          <w:szCs w:val="24"/>
          <w:lang w:eastAsia="en-GB"/>
        </w:rPr>
      </w:pPr>
    </w:p>
    <w:p w14:paraId="52686D0E" w14:textId="40822726" w:rsidR="007474C3" w:rsidRPr="00116055" w:rsidRDefault="00606569" w:rsidP="006C0F39">
      <w:pPr>
        <w:pStyle w:val="ListParagraph"/>
        <w:numPr>
          <w:ilvl w:val="2"/>
          <w:numId w:val="4"/>
        </w:numPr>
        <w:tabs>
          <w:tab w:val="clear" w:pos="936"/>
          <w:tab w:val="num" w:pos="1134"/>
        </w:tabs>
        <w:ind w:left="1134" w:hanging="1134"/>
        <w:rPr>
          <w:rFonts w:eastAsia="Calibri"/>
          <w:color w:val="000000"/>
        </w:rPr>
      </w:pPr>
      <w:r w:rsidRPr="00116055">
        <w:t xml:space="preserve">It is the responsibility of the relevant line manager to authorise </w:t>
      </w:r>
      <w:r w:rsidR="00A43A74" w:rsidRPr="00116055">
        <w:t xml:space="preserve">an incentive shift </w:t>
      </w:r>
      <w:r w:rsidRPr="00116055">
        <w:t xml:space="preserve">within all non- operational departments and </w:t>
      </w:r>
      <w:r w:rsidRPr="00116055">
        <w:rPr>
          <w:rFonts w:eastAsia="Calibri"/>
        </w:rPr>
        <w:t xml:space="preserve">ensure that the Working Time </w:t>
      </w:r>
      <w:r w:rsidR="006C0F39">
        <w:rPr>
          <w:rFonts w:eastAsia="Calibri"/>
        </w:rPr>
        <w:t>Directive</w:t>
      </w:r>
      <w:r w:rsidRPr="00116055">
        <w:rPr>
          <w:rFonts w:eastAsia="Calibri"/>
        </w:rPr>
        <w:t xml:space="preserve"> are not contravened by their </w:t>
      </w:r>
      <w:r w:rsidR="00C60333" w:rsidRPr="00116055">
        <w:rPr>
          <w:rFonts w:eastAsia="Calibri"/>
        </w:rPr>
        <w:t>colleagues</w:t>
      </w:r>
      <w:r w:rsidRPr="00116055">
        <w:rPr>
          <w:rFonts w:eastAsia="Calibri"/>
        </w:rPr>
        <w:t xml:space="preserve">, </w:t>
      </w:r>
      <w:r w:rsidRPr="00116055">
        <w:t>providing evidence of non-compliance, as required.</w:t>
      </w:r>
    </w:p>
    <w:p w14:paraId="486544BC" w14:textId="77777777" w:rsidR="007474C3" w:rsidRDefault="007474C3" w:rsidP="00F128D4">
      <w:pPr>
        <w:rPr>
          <w:rFonts w:cs="Arial"/>
        </w:rPr>
      </w:pPr>
    </w:p>
    <w:p w14:paraId="1D25F175" w14:textId="0B2C9538" w:rsidR="007474C3" w:rsidRPr="00116055" w:rsidRDefault="00606569" w:rsidP="00986E19">
      <w:pPr>
        <w:pStyle w:val="ListParagraph"/>
        <w:numPr>
          <w:ilvl w:val="2"/>
          <w:numId w:val="4"/>
        </w:numPr>
        <w:tabs>
          <w:tab w:val="clear" w:pos="936"/>
          <w:tab w:val="num" w:pos="1134"/>
        </w:tabs>
        <w:ind w:left="1134" w:hanging="1134"/>
        <w:rPr>
          <w:szCs w:val="20"/>
        </w:rPr>
      </w:pPr>
      <w:r w:rsidRPr="00116055">
        <w:t>To c</w:t>
      </w:r>
      <w:r w:rsidRPr="00116055">
        <w:rPr>
          <w:rFonts w:eastAsia="Calibri"/>
          <w:color w:val="000000"/>
        </w:rPr>
        <w:t xml:space="preserve">onsider alternatives to </w:t>
      </w:r>
      <w:r w:rsidR="00A43A74" w:rsidRPr="00116055">
        <w:rPr>
          <w:rFonts w:eastAsia="Calibri"/>
          <w:color w:val="000000"/>
        </w:rPr>
        <w:t>incentive shifts</w:t>
      </w:r>
      <w:r w:rsidR="00B361AA" w:rsidRPr="00116055">
        <w:rPr>
          <w:rFonts w:eastAsia="Calibri"/>
          <w:color w:val="000000"/>
        </w:rPr>
        <w:t>, such as, flexible working.</w:t>
      </w:r>
    </w:p>
    <w:p w14:paraId="28F73C37" w14:textId="77777777" w:rsidR="007474C3" w:rsidRDefault="007474C3" w:rsidP="00986E19">
      <w:pPr>
        <w:tabs>
          <w:tab w:val="num" w:pos="1134"/>
        </w:tabs>
        <w:ind w:left="1134" w:hanging="1134"/>
        <w:rPr>
          <w:rFonts w:cs="Arial"/>
          <w:szCs w:val="24"/>
        </w:rPr>
      </w:pPr>
    </w:p>
    <w:p w14:paraId="5BBBB08D" w14:textId="52FD34C0" w:rsidR="007474C3" w:rsidRPr="00116055" w:rsidRDefault="00606569" w:rsidP="00986E19">
      <w:pPr>
        <w:pStyle w:val="ListParagraph"/>
        <w:numPr>
          <w:ilvl w:val="2"/>
          <w:numId w:val="4"/>
        </w:numPr>
        <w:tabs>
          <w:tab w:val="clear" w:pos="936"/>
          <w:tab w:val="num" w:pos="1134"/>
        </w:tabs>
        <w:ind w:left="1134" w:hanging="1134"/>
      </w:pPr>
      <w:r w:rsidRPr="00116055">
        <w:rPr>
          <w:rFonts w:eastAsia="Calibri"/>
        </w:rPr>
        <w:t xml:space="preserve">To </w:t>
      </w:r>
      <w:proofErr w:type="gramStart"/>
      <w:r w:rsidRPr="00116055">
        <w:rPr>
          <w:rFonts w:eastAsia="Calibri"/>
        </w:rPr>
        <w:t>take action</w:t>
      </w:r>
      <w:proofErr w:type="gramEnd"/>
      <w:r w:rsidRPr="00116055">
        <w:rPr>
          <w:rFonts w:eastAsia="Calibri"/>
        </w:rPr>
        <w:t xml:space="preserve"> in accordance with the Trust's </w:t>
      </w:r>
      <w:r w:rsidR="00986E19">
        <w:rPr>
          <w:rFonts w:eastAsia="Calibri"/>
        </w:rPr>
        <w:t xml:space="preserve">Working Time Directive </w:t>
      </w:r>
      <w:r w:rsidRPr="00116055">
        <w:rPr>
          <w:rFonts w:eastAsia="Calibri"/>
        </w:rPr>
        <w:t>where it is identified that an individual is working excessive hours.</w:t>
      </w:r>
    </w:p>
    <w:p w14:paraId="69837025" w14:textId="77777777" w:rsidR="007474C3" w:rsidRDefault="007474C3" w:rsidP="00986E19">
      <w:pPr>
        <w:tabs>
          <w:tab w:val="num" w:pos="1134"/>
        </w:tabs>
        <w:ind w:left="1134" w:hanging="1134"/>
        <w:rPr>
          <w:rFonts w:cs="Arial"/>
          <w:szCs w:val="24"/>
        </w:rPr>
      </w:pPr>
    </w:p>
    <w:p w14:paraId="46B97056" w14:textId="72723113" w:rsidR="007474C3" w:rsidRPr="00116055" w:rsidRDefault="00606569" w:rsidP="00986E19">
      <w:pPr>
        <w:pStyle w:val="ListParagraph"/>
        <w:numPr>
          <w:ilvl w:val="2"/>
          <w:numId w:val="4"/>
        </w:numPr>
        <w:tabs>
          <w:tab w:val="clear" w:pos="936"/>
          <w:tab w:val="num" w:pos="1134"/>
        </w:tabs>
        <w:ind w:left="1134" w:hanging="1134"/>
        <w:rPr>
          <w:rFonts w:eastAsia="Calibri"/>
          <w:color w:val="000000" w:themeColor="text1"/>
        </w:rPr>
      </w:pPr>
      <w:r w:rsidRPr="00116055">
        <w:rPr>
          <w:rFonts w:eastAsia="Arial"/>
        </w:rPr>
        <w:t xml:space="preserve">To ensure that all eligible </w:t>
      </w:r>
      <w:r w:rsidR="00C60333" w:rsidRPr="00116055">
        <w:rPr>
          <w:rFonts w:eastAsia="Arial"/>
        </w:rPr>
        <w:t>colleagues</w:t>
      </w:r>
      <w:r w:rsidRPr="00116055">
        <w:rPr>
          <w:rFonts w:eastAsia="Arial"/>
        </w:rPr>
        <w:t xml:space="preserve"> are given an equal opportunity to work any available </w:t>
      </w:r>
      <w:r w:rsidR="00A43A74" w:rsidRPr="00116055">
        <w:rPr>
          <w:rFonts w:eastAsia="Arial"/>
        </w:rPr>
        <w:t>incentive shift</w:t>
      </w:r>
      <w:r w:rsidRPr="00116055">
        <w:rPr>
          <w:rFonts w:eastAsia="Arial"/>
        </w:rPr>
        <w:t>.</w:t>
      </w:r>
    </w:p>
    <w:p w14:paraId="44FA0DB7" w14:textId="77777777" w:rsidR="007474C3" w:rsidRDefault="007474C3" w:rsidP="00986E19">
      <w:pPr>
        <w:tabs>
          <w:tab w:val="num" w:pos="1134"/>
        </w:tabs>
        <w:ind w:left="1134" w:hanging="1134"/>
        <w:rPr>
          <w:rFonts w:eastAsia="Arial" w:cs="Arial"/>
          <w:lang w:eastAsia="en-GB"/>
        </w:rPr>
      </w:pPr>
    </w:p>
    <w:p w14:paraId="370D16F9" w14:textId="53176E94" w:rsidR="007474C3" w:rsidRPr="007474C3" w:rsidRDefault="00606569" w:rsidP="00986E19">
      <w:pPr>
        <w:pStyle w:val="ListParagraph"/>
        <w:numPr>
          <w:ilvl w:val="2"/>
          <w:numId w:val="4"/>
        </w:numPr>
        <w:tabs>
          <w:tab w:val="clear" w:pos="936"/>
          <w:tab w:val="num" w:pos="1134"/>
        </w:tabs>
        <w:ind w:left="1134" w:hanging="1134"/>
        <w:rPr>
          <w:rFonts w:cs="Times New Roman"/>
          <w:szCs w:val="20"/>
          <w:lang w:eastAsia="en-US"/>
        </w:rPr>
      </w:pPr>
      <w:r w:rsidRPr="00116055">
        <w:t xml:space="preserve">Must satisfy themselves that </w:t>
      </w:r>
      <w:r w:rsidR="00A43A74" w:rsidRPr="00116055">
        <w:t xml:space="preserve">incentive </w:t>
      </w:r>
      <w:r w:rsidRPr="00116055">
        <w:t>hours claimed are correct</w:t>
      </w:r>
      <w:r w:rsidRPr="00116055">
        <w:rPr>
          <w:rFonts w:eastAsia="Calibri"/>
        </w:rPr>
        <w:t>.</w:t>
      </w:r>
    </w:p>
    <w:p w14:paraId="3AA76211" w14:textId="77777777" w:rsidR="007474C3" w:rsidRDefault="007474C3" w:rsidP="00986E19">
      <w:pPr>
        <w:tabs>
          <w:tab w:val="num" w:pos="1134"/>
        </w:tabs>
        <w:ind w:left="1134" w:hanging="1134"/>
        <w:rPr>
          <w:rFonts w:eastAsia="Arial" w:cs="Arial"/>
          <w:szCs w:val="24"/>
          <w:lang w:eastAsia="en-GB"/>
        </w:rPr>
      </w:pPr>
    </w:p>
    <w:p w14:paraId="4ABA29F7" w14:textId="0C372587" w:rsidR="007474C3" w:rsidRPr="00116055" w:rsidRDefault="00606569" w:rsidP="00986E19">
      <w:pPr>
        <w:pStyle w:val="ListParagraph"/>
        <w:numPr>
          <w:ilvl w:val="2"/>
          <w:numId w:val="4"/>
        </w:numPr>
        <w:tabs>
          <w:tab w:val="clear" w:pos="936"/>
          <w:tab w:val="num" w:pos="1134"/>
        </w:tabs>
        <w:ind w:left="1134" w:hanging="1134"/>
        <w:rPr>
          <w:rFonts w:eastAsia="Arial"/>
        </w:rPr>
      </w:pPr>
      <w:r w:rsidRPr="00116055">
        <w:t>Submit authorised timesheets/claim forms to the HR Service Centre</w:t>
      </w:r>
    </w:p>
    <w:p w14:paraId="14DC5F77" w14:textId="77777777" w:rsidR="007474C3" w:rsidRDefault="007474C3" w:rsidP="00986E19">
      <w:pPr>
        <w:tabs>
          <w:tab w:val="num" w:pos="1134"/>
        </w:tabs>
        <w:ind w:left="1134" w:hanging="1134"/>
        <w:rPr>
          <w:rFonts w:cs="Arial"/>
          <w:szCs w:val="24"/>
        </w:rPr>
      </w:pPr>
    </w:p>
    <w:p w14:paraId="42507788" w14:textId="62E8B7B4" w:rsidR="007474C3" w:rsidRPr="00116055" w:rsidRDefault="00276EA3" w:rsidP="00E43D35">
      <w:pPr>
        <w:pStyle w:val="Heading1"/>
        <w:numPr>
          <w:ilvl w:val="0"/>
          <w:numId w:val="4"/>
        </w:numPr>
        <w:tabs>
          <w:tab w:val="clear" w:pos="936"/>
          <w:tab w:val="num" w:pos="1134"/>
        </w:tabs>
        <w:ind w:left="1134" w:hanging="1134"/>
      </w:pPr>
      <w:bookmarkStart w:id="9" w:name="_Toc218696001"/>
      <w:r w:rsidRPr="00E43D35">
        <w:t>Approval of Incentive Shift Package</w:t>
      </w:r>
      <w:bookmarkEnd w:id="9"/>
    </w:p>
    <w:p w14:paraId="2796F930" w14:textId="77777777" w:rsidR="007474C3" w:rsidRDefault="007474C3" w:rsidP="00F128D4">
      <w:pPr>
        <w:rPr>
          <w:rFonts w:cs="Arial"/>
          <w:szCs w:val="28"/>
        </w:rPr>
      </w:pPr>
    </w:p>
    <w:p w14:paraId="1285DA3A" w14:textId="58D9FA1C" w:rsidR="004A352E" w:rsidRPr="006F4BD8" w:rsidRDefault="004A6B45" w:rsidP="004A6B45">
      <w:pPr>
        <w:ind w:left="1134" w:hanging="1134"/>
        <w:rPr>
          <w:szCs w:val="28"/>
        </w:rPr>
      </w:pPr>
      <w:r>
        <w:rPr>
          <w:szCs w:val="28"/>
        </w:rPr>
        <w:t>5.1</w:t>
      </w:r>
      <w:r>
        <w:rPr>
          <w:szCs w:val="28"/>
        </w:rPr>
        <w:tab/>
      </w:r>
      <w:r w:rsidR="00276EA3" w:rsidRPr="006F4BD8">
        <w:rPr>
          <w:szCs w:val="28"/>
        </w:rPr>
        <w:t>All incentive shift packages, including extensions must be requested via the Incentive Shift Requisition and Approval Form</w:t>
      </w:r>
      <w:r w:rsidR="00624BBC">
        <w:rPr>
          <w:szCs w:val="28"/>
        </w:rPr>
        <w:t>.</w:t>
      </w:r>
    </w:p>
    <w:p w14:paraId="205F1AD4" w14:textId="77777777" w:rsidR="004A352E" w:rsidRPr="0015148F" w:rsidRDefault="004A352E" w:rsidP="0015148F">
      <w:pPr>
        <w:rPr>
          <w:rFonts w:cs="Arial"/>
          <w:szCs w:val="28"/>
        </w:rPr>
      </w:pPr>
    </w:p>
    <w:p w14:paraId="623407AD" w14:textId="524AEA11" w:rsidR="004A352E" w:rsidRDefault="004A6B45" w:rsidP="004A6B45">
      <w:pPr>
        <w:ind w:left="1134" w:hanging="1134"/>
      </w:pPr>
      <w:r>
        <w:rPr>
          <w:rFonts w:cs="Arial"/>
          <w:szCs w:val="28"/>
        </w:rPr>
        <w:t>5.2</w:t>
      </w:r>
      <w:r>
        <w:rPr>
          <w:rFonts w:cs="Arial"/>
          <w:szCs w:val="28"/>
        </w:rPr>
        <w:tab/>
      </w:r>
      <w:r w:rsidR="00276EA3" w:rsidRPr="0015148F">
        <w:rPr>
          <w:rFonts w:cs="Arial"/>
          <w:szCs w:val="28"/>
        </w:rPr>
        <w:t>Incentive packages may not be advertised without</w:t>
      </w:r>
      <w:r w:rsidR="00276EA3" w:rsidRPr="4CFB8929">
        <w:t xml:space="preserve"> </w:t>
      </w:r>
      <w:r w:rsidR="00963B1E" w:rsidRPr="4CFB8929">
        <w:t xml:space="preserve">evidence that </w:t>
      </w:r>
      <w:r w:rsidR="00276EA3" w:rsidRPr="4CFB8929">
        <w:t>the required</w:t>
      </w:r>
      <w:r w:rsidR="0015148F">
        <w:t xml:space="preserve"> </w:t>
      </w:r>
      <w:r w:rsidR="00276EA3" w:rsidRPr="4CFB8929">
        <w:t>approva</w:t>
      </w:r>
      <w:r w:rsidR="00963B1E" w:rsidRPr="4CFB8929">
        <w:t>ls</w:t>
      </w:r>
      <w:r w:rsidR="00276EA3" w:rsidRPr="4CFB8929">
        <w:t xml:space="preserve"> </w:t>
      </w:r>
      <w:r w:rsidR="00963B1E" w:rsidRPr="4CFB8929">
        <w:t xml:space="preserve">are </w:t>
      </w:r>
      <w:r w:rsidR="00276EA3" w:rsidRPr="4CFB8929">
        <w:t>in place.</w:t>
      </w:r>
      <w:r w:rsidR="00682D65">
        <w:t xml:space="preserve"> Non-adherence</w:t>
      </w:r>
      <w:r w:rsidR="002804AC">
        <w:t xml:space="preserve"> may result in an investigation under the Trust</w:t>
      </w:r>
      <w:r w:rsidR="00682D65">
        <w:t xml:space="preserve">’s </w:t>
      </w:r>
      <w:r w:rsidR="005D215F">
        <w:t>Managing Conduct and Resolution Policy.</w:t>
      </w:r>
    </w:p>
    <w:p w14:paraId="78660A6E" w14:textId="77777777" w:rsidR="004A352E" w:rsidRDefault="004A352E" w:rsidP="00F128D4"/>
    <w:p w14:paraId="122E902F" w14:textId="01175D61" w:rsidR="004A352E" w:rsidRPr="00E43D35" w:rsidRDefault="00997B11" w:rsidP="00E43D35">
      <w:pPr>
        <w:pStyle w:val="Heading1"/>
        <w:numPr>
          <w:ilvl w:val="0"/>
          <w:numId w:val="4"/>
        </w:numPr>
        <w:tabs>
          <w:tab w:val="clear" w:pos="936"/>
          <w:tab w:val="num" w:pos="1134"/>
        </w:tabs>
        <w:ind w:left="1134" w:hanging="1134"/>
      </w:pPr>
      <w:bookmarkStart w:id="10" w:name="_Toc218696002"/>
      <w:r w:rsidRPr="00E43D35">
        <w:t xml:space="preserve">Advertising </w:t>
      </w:r>
      <w:r w:rsidR="00D931D4" w:rsidRPr="00E43D35">
        <w:t>I</w:t>
      </w:r>
      <w:r w:rsidRPr="00E43D35">
        <w:t>ncentive</w:t>
      </w:r>
      <w:r w:rsidR="00D931D4" w:rsidRPr="00E43D35">
        <w:t xml:space="preserve"> S</w:t>
      </w:r>
      <w:r w:rsidRPr="00E43D35">
        <w:t>hifts</w:t>
      </w:r>
      <w:bookmarkEnd w:id="10"/>
    </w:p>
    <w:p w14:paraId="75897297" w14:textId="77777777" w:rsidR="004A352E" w:rsidRDefault="004A352E" w:rsidP="00F128D4">
      <w:pPr>
        <w:rPr>
          <w:rFonts w:cs="Arial"/>
          <w:szCs w:val="28"/>
        </w:rPr>
      </w:pPr>
    </w:p>
    <w:p w14:paraId="2DACD021" w14:textId="401B7380" w:rsidR="004A352E" w:rsidRPr="00DA60E8" w:rsidRDefault="00997B11" w:rsidP="00DA60E8">
      <w:pPr>
        <w:pStyle w:val="ListParagraph"/>
        <w:numPr>
          <w:ilvl w:val="1"/>
          <w:numId w:val="15"/>
        </w:numPr>
        <w:ind w:left="1134" w:hanging="1134"/>
        <w:rPr>
          <w:szCs w:val="28"/>
        </w:rPr>
      </w:pPr>
      <w:r>
        <w:t xml:space="preserve">Incentive shifts will be advertised to all Trust employees and bank </w:t>
      </w:r>
      <w:r w:rsidR="006C23F4">
        <w:t>colleagues</w:t>
      </w:r>
      <w:r>
        <w:t xml:space="preserve"> in the same way that the Trust advertises other shifts currently. Employees and bank </w:t>
      </w:r>
      <w:r w:rsidR="006C23F4">
        <w:t>colleagues</w:t>
      </w:r>
      <w:r>
        <w:t xml:space="preserve"> should check these sources regularly for new incentive shifts.</w:t>
      </w:r>
    </w:p>
    <w:p w14:paraId="36440E5A" w14:textId="77777777" w:rsidR="004A352E" w:rsidRDefault="004A352E" w:rsidP="00F128D4"/>
    <w:p w14:paraId="49D82DA5" w14:textId="6518B711" w:rsidR="004A352E" w:rsidRPr="00DA60E8" w:rsidRDefault="00997B11" w:rsidP="00C12C35">
      <w:pPr>
        <w:pStyle w:val="ListParagraph"/>
        <w:numPr>
          <w:ilvl w:val="2"/>
          <w:numId w:val="15"/>
        </w:numPr>
        <w:ind w:left="1134" w:hanging="1134"/>
        <w:rPr>
          <w:rFonts w:cs="Times New Roman"/>
        </w:rPr>
      </w:pPr>
      <w:r w:rsidRPr="00116055">
        <w:t xml:space="preserve">Whenever possible, the Trust will aim to advertise any incentive shift at least 7 </w:t>
      </w:r>
      <w:r w:rsidR="00606569" w:rsidRPr="00116055">
        <w:t xml:space="preserve">calendar </w:t>
      </w:r>
      <w:r w:rsidRPr="00116055">
        <w:t>days before the date and time the individual is needed to work. Such notice will not always be possible</w:t>
      </w:r>
      <w:r w:rsidR="000C6606" w:rsidRPr="00116055">
        <w:t>,</w:t>
      </w:r>
      <w:r w:rsidRPr="00116055">
        <w:t xml:space="preserve"> and the Trust may advertise incentive shifts at shorter notice (up to and including only giving a few hours' notice).</w:t>
      </w:r>
    </w:p>
    <w:p w14:paraId="340D3584" w14:textId="77777777" w:rsidR="004A352E" w:rsidRDefault="004A352E" w:rsidP="00F128D4">
      <w:pPr>
        <w:rPr>
          <w:rFonts w:cs="Arial"/>
        </w:rPr>
      </w:pPr>
    </w:p>
    <w:p w14:paraId="625C1881" w14:textId="055BF686" w:rsidR="004A352E" w:rsidRPr="00116055" w:rsidRDefault="00997B11" w:rsidP="00C12C35">
      <w:pPr>
        <w:pStyle w:val="ListParagraph"/>
        <w:numPr>
          <w:ilvl w:val="1"/>
          <w:numId w:val="15"/>
        </w:numPr>
        <w:ind w:left="1134" w:hanging="1134"/>
        <w:rPr>
          <w:b/>
          <w:bCs/>
        </w:rPr>
      </w:pPr>
      <w:r w:rsidRPr="00116055">
        <w:rPr>
          <w:b/>
          <w:bCs/>
        </w:rPr>
        <w:t>When the Trust advertises an incentive shift, this will include:</w:t>
      </w:r>
    </w:p>
    <w:p w14:paraId="5CCD37E6" w14:textId="77777777" w:rsidR="004A352E" w:rsidRDefault="004A352E" w:rsidP="00F128D4"/>
    <w:p w14:paraId="3CF1D8F9" w14:textId="0224E761" w:rsidR="004A352E" w:rsidRPr="00116055" w:rsidRDefault="0872963A" w:rsidP="001F0CA9">
      <w:pPr>
        <w:pStyle w:val="ListParagraph"/>
        <w:numPr>
          <w:ilvl w:val="2"/>
          <w:numId w:val="5"/>
        </w:numPr>
      </w:pPr>
      <w:r>
        <w:t xml:space="preserve">The date, time, and duration of the incentive </w:t>
      </w:r>
      <w:proofErr w:type="gramStart"/>
      <w:r>
        <w:t>shift;</w:t>
      </w:r>
      <w:proofErr w:type="gramEnd"/>
    </w:p>
    <w:p w14:paraId="7DDC6449" w14:textId="77777777" w:rsidR="004A352E" w:rsidRDefault="004A352E" w:rsidP="00F128D4"/>
    <w:p w14:paraId="22D1B222" w14:textId="251DA8AB" w:rsidR="004A352E" w:rsidRDefault="00997B11" w:rsidP="001F0CA9">
      <w:pPr>
        <w:pStyle w:val="ListParagraph"/>
        <w:numPr>
          <w:ilvl w:val="2"/>
          <w:numId w:val="5"/>
        </w:numPr>
      </w:pPr>
      <w:r w:rsidRPr="00606569">
        <w:t xml:space="preserve">The remuneration for the incentive </w:t>
      </w:r>
      <w:proofErr w:type="gramStart"/>
      <w:r w:rsidRPr="00606569">
        <w:t>shift;</w:t>
      </w:r>
      <w:proofErr w:type="gramEnd"/>
    </w:p>
    <w:p w14:paraId="0EE19D7F" w14:textId="77777777" w:rsidR="004A352E" w:rsidRDefault="004A352E" w:rsidP="00F128D4"/>
    <w:p w14:paraId="4B93A55F" w14:textId="61AB978B" w:rsidR="004A352E" w:rsidRDefault="00997B11" w:rsidP="001F0CA9">
      <w:pPr>
        <w:pStyle w:val="ListParagraph"/>
        <w:numPr>
          <w:ilvl w:val="2"/>
          <w:numId w:val="5"/>
        </w:numPr>
      </w:pPr>
      <w:r w:rsidRPr="00606569">
        <w:t xml:space="preserve">The location of the incentive </w:t>
      </w:r>
      <w:proofErr w:type="gramStart"/>
      <w:r w:rsidRPr="00606569">
        <w:t>shift;</w:t>
      </w:r>
      <w:proofErr w:type="gramEnd"/>
    </w:p>
    <w:p w14:paraId="6F0F158B" w14:textId="77777777" w:rsidR="004A352E" w:rsidRDefault="004A352E" w:rsidP="00F128D4"/>
    <w:p w14:paraId="782EB85C" w14:textId="7A3C1C1A" w:rsidR="004A352E" w:rsidRDefault="00997B11" w:rsidP="001F0CA9">
      <w:pPr>
        <w:pStyle w:val="ListParagraph"/>
        <w:numPr>
          <w:ilvl w:val="2"/>
          <w:numId w:val="5"/>
        </w:numPr>
      </w:pPr>
      <w:r w:rsidRPr="00606569">
        <w:t>The role profile / banding of the individual</w:t>
      </w:r>
      <w:r w:rsidR="000C6606">
        <w:t>(s)</w:t>
      </w:r>
      <w:r w:rsidRPr="00606569">
        <w:t xml:space="preserve"> required for the incentive shift; and</w:t>
      </w:r>
    </w:p>
    <w:p w14:paraId="0E1D0165" w14:textId="77777777" w:rsidR="004A352E" w:rsidRDefault="004A352E" w:rsidP="00F128D4"/>
    <w:p w14:paraId="125AF0DB" w14:textId="33639377" w:rsidR="002820EC" w:rsidRDefault="00997B11" w:rsidP="001F0CA9">
      <w:pPr>
        <w:pStyle w:val="ListParagraph"/>
        <w:numPr>
          <w:ilvl w:val="2"/>
          <w:numId w:val="5"/>
        </w:numPr>
      </w:pPr>
      <w:r w:rsidRPr="00606569">
        <w:t xml:space="preserve">The contact details of the </w:t>
      </w:r>
      <w:r w:rsidR="00606569" w:rsidRPr="00606569">
        <w:t xml:space="preserve">Scheduling Department/ </w:t>
      </w:r>
      <w:r w:rsidRPr="00606569">
        <w:t xml:space="preserve">manager to whom applications are </w:t>
      </w:r>
      <w:r w:rsidR="00606569" w:rsidRPr="00606569">
        <w:t>to be sent</w:t>
      </w:r>
      <w:r w:rsidRPr="00606569">
        <w:t>, with a deadline for applications.</w:t>
      </w:r>
    </w:p>
    <w:p w14:paraId="2B9AD103" w14:textId="45D6C020" w:rsidR="002820EC" w:rsidRPr="00A46410" w:rsidRDefault="00997B11" w:rsidP="00A46410">
      <w:pPr>
        <w:pStyle w:val="Heading1"/>
        <w:numPr>
          <w:ilvl w:val="0"/>
          <w:numId w:val="4"/>
        </w:numPr>
        <w:tabs>
          <w:tab w:val="clear" w:pos="936"/>
          <w:tab w:val="num" w:pos="1134"/>
        </w:tabs>
        <w:ind w:left="1134" w:hanging="1134"/>
      </w:pPr>
      <w:bookmarkStart w:id="11" w:name="_Toc218696003"/>
      <w:r w:rsidRPr="00A46410">
        <w:t>Apply</w:t>
      </w:r>
      <w:r w:rsidR="00D931D4" w:rsidRPr="00A46410">
        <w:t>ing for I</w:t>
      </w:r>
      <w:r w:rsidRPr="00A46410">
        <w:t>ncentive</w:t>
      </w:r>
      <w:r w:rsidR="00D931D4" w:rsidRPr="00A46410">
        <w:t xml:space="preserve"> S</w:t>
      </w:r>
      <w:r w:rsidRPr="00A46410">
        <w:t>hifts</w:t>
      </w:r>
      <w:bookmarkEnd w:id="11"/>
    </w:p>
    <w:p w14:paraId="5EEBFF5B" w14:textId="77777777" w:rsidR="002820EC" w:rsidRDefault="002820EC" w:rsidP="00F128D4">
      <w:pPr>
        <w:rPr>
          <w:rFonts w:cs="Arial"/>
          <w:szCs w:val="28"/>
        </w:rPr>
      </w:pPr>
    </w:p>
    <w:p w14:paraId="659D7BFC" w14:textId="77777777" w:rsidR="00A46410" w:rsidRPr="00A46410" w:rsidRDefault="00A46410" w:rsidP="00A46410">
      <w:pPr>
        <w:pStyle w:val="ListParagraph"/>
        <w:numPr>
          <w:ilvl w:val="0"/>
          <w:numId w:val="15"/>
        </w:numPr>
        <w:rPr>
          <w:vanish/>
        </w:rPr>
      </w:pPr>
    </w:p>
    <w:p w14:paraId="0E1258A6" w14:textId="2CB63860" w:rsidR="002820EC" w:rsidRPr="00116055" w:rsidRDefault="00997B11" w:rsidP="00A46410">
      <w:pPr>
        <w:pStyle w:val="ListParagraph"/>
        <w:numPr>
          <w:ilvl w:val="1"/>
          <w:numId w:val="15"/>
        </w:numPr>
        <w:ind w:left="1134" w:hanging="1134"/>
        <w:rPr>
          <w:szCs w:val="28"/>
        </w:rPr>
      </w:pPr>
      <w:r>
        <w:t xml:space="preserve">The Trust has the absolute discretion to accept or refuse any application to work an incentive shift made by an employee or a member of the bank </w:t>
      </w:r>
      <w:r w:rsidR="006C23F4">
        <w:t>colleagues</w:t>
      </w:r>
      <w:r>
        <w:t>. There is no</w:t>
      </w:r>
      <w:r w:rsidR="00E30BEE">
        <w:t xml:space="preserve"> </w:t>
      </w:r>
      <w:r>
        <w:t>obligation on the Trust to accept an application to work an</w:t>
      </w:r>
      <w:r w:rsidR="00E67F80">
        <w:t xml:space="preserve"> </w:t>
      </w:r>
      <w:r>
        <w:t xml:space="preserve">incentive </w:t>
      </w:r>
      <w:proofErr w:type="gramStart"/>
      <w:r>
        <w:t>shift</w:t>
      </w:r>
      <w:proofErr w:type="gramEnd"/>
      <w:r>
        <w:t xml:space="preserve"> nor does it need to provide any reason for appointing/ not appointing anyone to an incentive shift.</w:t>
      </w:r>
    </w:p>
    <w:p w14:paraId="4C4FBA53" w14:textId="77777777" w:rsidR="002820EC" w:rsidRDefault="002820EC" w:rsidP="00F128D4"/>
    <w:p w14:paraId="4502E001" w14:textId="70DF9478" w:rsidR="002820EC" w:rsidRPr="00116055" w:rsidRDefault="00997B11" w:rsidP="00A46410">
      <w:pPr>
        <w:pStyle w:val="ListParagraph"/>
        <w:numPr>
          <w:ilvl w:val="1"/>
          <w:numId w:val="15"/>
        </w:numPr>
        <w:ind w:left="1134" w:hanging="1134"/>
        <w:rPr>
          <w:bCs/>
          <w:szCs w:val="28"/>
        </w:rPr>
      </w:pPr>
      <w:r>
        <w:t xml:space="preserve">If there is more than one applicant for any given incentive shift, the Trust will allocate that shift </w:t>
      </w:r>
      <w:r w:rsidRPr="00FC06F7">
        <w:t xml:space="preserve">to the first </w:t>
      </w:r>
      <w:r w:rsidR="004B41B9">
        <w:t xml:space="preserve">suitable </w:t>
      </w:r>
      <w:r w:rsidRPr="00FC06F7">
        <w:t>applicant.</w:t>
      </w:r>
      <w:r>
        <w:t xml:space="preserve"> No employee or member of the bank </w:t>
      </w:r>
      <w:r w:rsidR="006C23F4">
        <w:t>colleagues</w:t>
      </w:r>
      <w:r>
        <w:t xml:space="preserve"> will be permitted to work an incentive shift without having rec</w:t>
      </w:r>
      <w:r w:rsidR="004E654A">
        <w:t xml:space="preserve">eived prior authorisation from Clinical Scheduling or the </w:t>
      </w:r>
      <w:r w:rsidRPr="004E654A">
        <w:t>named manager</w:t>
      </w:r>
      <w:r w:rsidR="004E654A">
        <w:t xml:space="preserve">, as </w:t>
      </w:r>
      <w:r w:rsidR="00E67F80">
        <w:t>a</w:t>
      </w:r>
      <w:r w:rsidR="004E654A">
        <w:t>pplicable</w:t>
      </w:r>
      <w:r>
        <w:t>.</w:t>
      </w:r>
    </w:p>
    <w:p w14:paraId="4BF0D6BE" w14:textId="77777777" w:rsidR="002820EC" w:rsidRDefault="002820EC" w:rsidP="00F128D4"/>
    <w:p w14:paraId="0E5F32DD" w14:textId="5BF5A0D4" w:rsidR="002820EC" w:rsidRPr="00116055" w:rsidRDefault="00997B11" w:rsidP="00A46410">
      <w:pPr>
        <w:pStyle w:val="ListParagraph"/>
        <w:numPr>
          <w:ilvl w:val="1"/>
          <w:numId w:val="15"/>
        </w:numPr>
        <w:ind w:left="1134" w:hanging="1134"/>
        <w:rPr>
          <w:bCs/>
          <w:szCs w:val="28"/>
        </w:rPr>
      </w:pPr>
      <w:r>
        <w:t xml:space="preserve">Confirmation of acceptance to work an incentive shift will be sent to the successful individual by </w:t>
      </w:r>
      <w:r w:rsidR="004E654A">
        <w:t>Clinical Scheduling or the</w:t>
      </w:r>
      <w:r>
        <w:t xml:space="preserve"> </w:t>
      </w:r>
      <w:r w:rsidRPr="004E654A">
        <w:t>named manager</w:t>
      </w:r>
      <w:r w:rsidR="004E654A" w:rsidRPr="004E654A">
        <w:t>,</w:t>
      </w:r>
      <w:r w:rsidR="004E654A">
        <w:t xml:space="preserve"> as applicable</w:t>
      </w:r>
      <w:r>
        <w:t xml:space="preserve">. </w:t>
      </w:r>
      <w:r w:rsidRPr="004E654A">
        <w:t xml:space="preserve">If an individual is granted an incentive shift but is subsequently unable to work that shift, they should inform the </w:t>
      </w:r>
      <w:r w:rsidR="004B41B9">
        <w:t xml:space="preserve">Clinical Scheduling or the </w:t>
      </w:r>
      <w:r w:rsidRPr="004E654A">
        <w:t>named manager as</w:t>
      </w:r>
      <w:r w:rsidR="00E30BEE" w:rsidRPr="004E654A">
        <w:t xml:space="preserve"> </w:t>
      </w:r>
      <w:r w:rsidRPr="004E654A">
        <w:t>soon as possible and the incentive shift will be re-advertised.</w:t>
      </w:r>
    </w:p>
    <w:p w14:paraId="25244908" w14:textId="77777777" w:rsidR="002820EC" w:rsidRDefault="002820EC" w:rsidP="00F128D4"/>
    <w:p w14:paraId="495BAF9A" w14:textId="7C128D3F" w:rsidR="00CA4B54" w:rsidRDefault="00997B11" w:rsidP="00A46410">
      <w:pPr>
        <w:pStyle w:val="ListParagraph"/>
        <w:numPr>
          <w:ilvl w:val="1"/>
          <w:numId w:val="15"/>
        </w:numPr>
        <w:ind w:left="1134" w:hanging="1134"/>
      </w:pPr>
      <w:r w:rsidRPr="00B361AA">
        <w:t xml:space="preserve">No individual will be permitted to work an incentive shift if their working hours would then exceed 48 hours per week averaged over a 17-week reference period, unless they have signed an opt-out agreement. If an individual is in any doubt as to whether their working time may exceed the </w:t>
      </w:r>
      <w:r w:rsidR="000C6606" w:rsidRPr="00B361AA">
        <w:t>48-hour</w:t>
      </w:r>
      <w:r w:rsidRPr="00B361AA">
        <w:t xml:space="preserve"> limit, it is their duty to notify the named manager so appropriate checks can be made.</w:t>
      </w:r>
    </w:p>
    <w:p w14:paraId="286CDB7C" w14:textId="77777777" w:rsidR="00CA4B54" w:rsidRDefault="00CA4B54" w:rsidP="00F128D4"/>
    <w:p w14:paraId="47E6245E" w14:textId="674A5368" w:rsidR="006E00C6" w:rsidRPr="00A46410" w:rsidRDefault="00A46410" w:rsidP="00A46410">
      <w:pPr>
        <w:pStyle w:val="Heading1"/>
        <w:numPr>
          <w:ilvl w:val="0"/>
          <w:numId w:val="4"/>
        </w:numPr>
        <w:tabs>
          <w:tab w:val="clear" w:pos="936"/>
          <w:tab w:val="num" w:pos="1134"/>
        </w:tabs>
        <w:ind w:left="1134" w:hanging="1134"/>
      </w:pPr>
      <w:bookmarkStart w:id="12" w:name="_Toc218696004"/>
      <w:r>
        <w:t>Pay for Incentive Shifts</w:t>
      </w:r>
      <w:bookmarkEnd w:id="12"/>
    </w:p>
    <w:p w14:paraId="2B0F7159" w14:textId="77777777" w:rsidR="006E00C6" w:rsidRDefault="006E00C6" w:rsidP="00F128D4">
      <w:pPr>
        <w:rPr>
          <w:rFonts w:cs="Arial"/>
          <w:szCs w:val="28"/>
        </w:rPr>
      </w:pPr>
    </w:p>
    <w:p w14:paraId="0453A8C0" w14:textId="77777777" w:rsidR="00A46410" w:rsidRPr="00A46410" w:rsidRDefault="00A46410" w:rsidP="00A46410">
      <w:pPr>
        <w:pStyle w:val="ListParagraph"/>
        <w:numPr>
          <w:ilvl w:val="0"/>
          <w:numId w:val="15"/>
        </w:numPr>
        <w:rPr>
          <w:vanish/>
        </w:rPr>
      </w:pPr>
    </w:p>
    <w:p w14:paraId="148EBA7B" w14:textId="2FC3C46F" w:rsidR="006E00C6" w:rsidRPr="00116055" w:rsidRDefault="00997B11" w:rsidP="00A46410">
      <w:pPr>
        <w:pStyle w:val="ListParagraph"/>
        <w:numPr>
          <w:ilvl w:val="1"/>
          <w:numId w:val="15"/>
        </w:numPr>
        <w:ind w:left="1134" w:hanging="1134"/>
        <w:rPr>
          <w:szCs w:val="28"/>
        </w:rPr>
      </w:pPr>
      <w:r>
        <w:t xml:space="preserve">Pay for any incentive shift will be paid at the rate identified in the Trust advertisement for the incentive shift. </w:t>
      </w:r>
      <w:r w:rsidRPr="00F82F0E">
        <w:t xml:space="preserve">Such remuneration will be over and above the normal remuneration due for that shift under the individual's employment </w:t>
      </w:r>
      <w:r w:rsidR="00D931D4" w:rsidRPr="00F82F0E">
        <w:t xml:space="preserve">contract </w:t>
      </w:r>
      <w:r w:rsidRPr="00F82F0E">
        <w:t xml:space="preserve">or bank </w:t>
      </w:r>
      <w:r w:rsidR="00D931D4" w:rsidRPr="00F82F0E">
        <w:t>agreement.</w:t>
      </w:r>
      <w:r w:rsidR="00E6627A">
        <w:t xml:space="preserve"> </w:t>
      </w:r>
      <w:r w:rsidR="00E1762A">
        <w:t>The level of remuneration for an advertised incentive shift does not set any precedent for any subsequent</w:t>
      </w:r>
      <w:r w:rsidR="00635085">
        <w:t xml:space="preserve">ly advertised </w:t>
      </w:r>
      <w:r w:rsidR="00807417">
        <w:t>shifts.</w:t>
      </w:r>
    </w:p>
    <w:p w14:paraId="5F34CA87" w14:textId="77777777" w:rsidR="006E00C6" w:rsidRDefault="006E00C6" w:rsidP="00F128D4"/>
    <w:p w14:paraId="5AD27FC9" w14:textId="5296A18B" w:rsidR="00CE1D9C" w:rsidRDefault="00997B11" w:rsidP="00A46410">
      <w:pPr>
        <w:pStyle w:val="ListParagraph"/>
        <w:numPr>
          <w:ilvl w:val="1"/>
          <w:numId w:val="15"/>
        </w:numPr>
        <w:ind w:left="1134" w:hanging="1134"/>
      </w:pPr>
      <w:r w:rsidRPr="00032050">
        <w:t xml:space="preserve">For the avoidance of doubt, any entitlement an employee or member of bank </w:t>
      </w:r>
      <w:r w:rsidR="00C60333">
        <w:t>colleagues</w:t>
      </w:r>
      <w:r w:rsidRPr="00032050">
        <w:t xml:space="preserve"> may have for enhancements based on working unsocial hours</w:t>
      </w:r>
      <w:r w:rsidR="00D931D4" w:rsidRPr="00032050">
        <w:t xml:space="preserve"> </w:t>
      </w:r>
      <w:r w:rsidRPr="00032050">
        <w:t xml:space="preserve">or working in a </w:t>
      </w:r>
      <w:proofErr w:type="gramStart"/>
      <w:r w:rsidRPr="00032050">
        <w:t>high cost</w:t>
      </w:r>
      <w:proofErr w:type="gramEnd"/>
      <w:r w:rsidRPr="00032050">
        <w:t xml:space="preserve"> area will continue to apply to pay received for incentive shifts.</w:t>
      </w:r>
    </w:p>
    <w:p w14:paraId="5634AF78" w14:textId="77777777" w:rsidR="00CE1D9C" w:rsidRDefault="00CE1D9C" w:rsidP="00F128D4"/>
    <w:p w14:paraId="28EE7406" w14:textId="3E3C61D7" w:rsidR="00CE1D9C" w:rsidRDefault="00997B11" w:rsidP="00A46410">
      <w:pPr>
        <w:pStyle w:val="ListParagraph"/>
        <w:numPr>
          <w:ilvl w:val="1"/>
          <w:numId w:val="15"/>
        </w:numPr>
        <w:ind w:left="1134" w:hanging="1134"/>
      </w:pPr>
      <w:r>
        <w:t xml:space="preserve">Payment for an incentive shift will be made one month in arrears in the usual way and on the usual pay date for the employee or the member of bank </w:t>
      </w:r>
      <w:r w:rsidR="00C60333">
        <w:t>colleagues</w:t>
      </w:r>
      <w:r>
        <w:t xml:space="preserve"> working the shift.</w:t>
      </w:r>
    </w:p>
    <w:p w14:paraId="31DCE2D9" w14:textId="77777777" w:rsidR="00CE1D9C" w:rsidRDefault="00CE1D9C" w:rsidP="00F128D4"/>
    <w:p w14:paraId="628D22A7" w14:textId="0A4279AC" w:rsidR="00CE1D9C" w:rsidRDefault="00950ABE" w:rsidP="00A46410">
      <w:pPr>
        <w:pStyle w:val="ListParagraph"/>
        <w:numPr>
          <w:ilvl w:val="1"/>
          <w:numId w:val="15"/>
        </w:numPr>
        <w:ind w:left="1134" w:hanging="1134"/>
      </w:pPr>
      <w:r>
        <w:t>To be eligible for</w:t>
      </w:r>
      <w:r w:rsidR="00A236E8">
        <w:t xml:space="preserve"> an</w:t>
      </w:r>
      <w:r>
        <w:t xml:space="preserve"> incentive shift payment</w:t>
      </w:r>
      <w:r w:rsidR="00A236E8">
        <w:t>,</w:t>
      </w:r>
      <w:r>
        <w:t xml:space="preserve"> </w:t>
      </w:r>
      <w:r w:rsidR="00A236E8">
        <w:t>the agreed shift</w:t>
      </w:r>
      <w:r>
        <w:t xml:space="preserve"> must </w:t>
      </w:r>
      <w:r w:rsidR="00A236E8">
        <w:t xml:space="preserve">be </w:t>
      </w:r>
      <w:r>
        <w:t xml:space="preserve">worked. A breach to these terms would result in the non-application of the incentive </w:t>
      </w:r>
      <w:r w:rsidR="00A236E8">
        <w:t xml:space="preserve">payment </w:t>
      </w:r>
      <w:r>
        <w:t>for the period of the breach</w:t>
      </w:r>
      <w:r w:rsidR="00CE1D9C">
        <w:t>.</w:t>
      </w:r>
    </w:p>
    <w:p w14:paraId="5D31D427" w14:textId="5B774B37" w:rsidR="00CE1D9C" w:rsidRPr="00CE1D9C" w:rsidRDefault="004E654A" w:rsidP="005C2889">
      <w:pPr>
        <w:pStyle w:val="Heading1"/>
        <w:numPr>
          <w:ilvl w:val="0"/>
          <w:numId w:val="15"/>
        </w:numPr>
        <w:ind w:left="1134" w:hanging="1134"/>
        <w:rPr>
          <w:rFonts w:cs="Times New Roman"/>
          <w:szCs w:val="20"/>
        </w:rPr>
      </w:pPr>
      <w:bookmarkStart w:id="13" w:name="_Toc218696005"/>
      <w:r w:rsidRPr="00CE1D9C">
        <w:t>Fraud</w:t>
      </w:r>
      <w:bookmarkEnd w:id="13"/>
    </w:p>
    <w:p w14:paraId="5BDB3A62" w14:textId="77777777" w:rsidR="00CE1D9C" w:rsidRDefault="00CE1D9C" w:rsidP="00F128D4">
      <w:pPr>
        <w:rPr>
          <w:rFonts w:cs="Arial"/>
          <w:szCs w:val="28"/>
        </w:rPr>
      </w:pPr>
    </w:p>
    <w:p w14:paraId="54E2B32B" w14:textId="2EF56181" w:rsidR="00CE1D9C" w:rsidRPr="00116055" w:rsidRDefault="004E654A" w:rsidP="00A46410">
      <w:pPr>
        <w:pStyle w:val="ListParagraph"/>
        <w:numPr>
          <w:ilvl w:val="1"/>
          <w:numId w:val="15"/>
        </w:numPr>
        <w:ind w:left="1134" w:hanging="1134"/>
        <w:rPr>
          <w:szCs w:val="28"/>
          <w:lang w:eastAsia="en-US"/>
        </w:rPr>
      </w:pPr>
      <w:r w:rsidRPr="009E21C8">
        <w:t xml:space="preserve">Falsification of information (including the exaggeration or falsification of </w:t>
      </w:r>
      <w:r>
        <w:t>incentive claims</w:t>
      </w:r>
      <w:r w:rsidRPr="009E21C8">
        <w:t xml:space="preserve">) provided to the Trust by a </w:t>
      </w:r>
      <w:r w:rsidR="00C60333">
        <w:t>colleague</w:t>
      </w:r>
      <w:r w:rsidRPr="009E21C8">
        <w:t xml:space="preserve"> in relation to their </w:t>
      </w:r>
      <w:r>
        <w:t>hours of work</w:t>
      </w:r>
      <w:r w:rsidRPr="009E21C8">
        <w:t xml:space="preserve"> will </w:t>
      </w:r>
      <w:r w:rsidRPr="00116055">
        <w:rPr>
          <w:rFonts w:eastAsia="Arial"/>
          <w:color w:val="000000"/>
        </w:rPr>
        <w:t xml:space="preserve">be investigated and dealt with through the Trust’s </w:t>
      </w:r>
      <w:r w:rsidR="00D84E08" w:rsidRPr="00D84E08">
        <w:rPr>
          <w:rFonts w:eastAsia="Arial"/>
        </w:rPr>
        <w:t>Managing</w:t>
      </w:r>
      <w:r w:rsidR="00D84E08">
        <w:t xml:space="preserve"> Conduct</w:t>
      </w:r>
      <w:r w:rsidRPr="009E21C8">
        <w:t xml:space="preserve"> and / or the </w:t>
      </w:r>
      <w:r w:rsidRPr="00D84E08">
        <w:t>Anti-Fraud and Bribery Policy</w:t>
      </w:r>
      <w:r w:rsidRPr="00D84E08">
        <w:rPr>
          <w:rFonts w:eastAsia="Arial"/>
        </w:rPr>
        <w:t>.</w:t>
      </w:r>
      <w:r w:rsidRPr="00116055">
        <w:rPr>
          <w:rFonts w:eastAsia="Arial"/>
          <w:color w:val="000000"/>
        </w:rPr>
        <w:t xml:space="preserve"> If the breach is so serious as to amount to a dishonest act and cause a financial loss to the Trust the matter may be referred to the Local Counter Fraud Specialist for investigation, which may lead to a criminal sanction.</w:t>
      </w:r>
    </w:p>
    <w:p w14:paraId="61DAEE58" w14:textId="77777777" w:rsidR="00CE1D9C" w:rsidRDefault="00CE1D9C" w:rsidP="00F128D4">
      <w:pPr>
        <w:rPr>
          <w:rFonts w:eastAsia="Arial"/>
          <w:color w:val="000000"/>
          <w:lang w:eastAsia="en-GB"/>
        </w:rPr>
      </w:pPr>
    </w:p>
    <w:p w14:paraId="45EC829D" w14:textId="4E4E5D0A" w:rsidR="00CE1D9C" w:rsidRPr="00116055" w:rsidRDefault="005446F6" w:rsidP="00B72E54">
      <w:pPr>
        <w:pStyle w:val="Heading1"/>
        <w:numPr>
          <w:ilvl w:val="0"/>
          <w:numId w:val="15"/>
        </w:numPr>
        <w:ind w:left="1134" w:hanging="1134"/>
        <w:rPr>
          <w:rFonts w:eastAsia="Arial" w:cs="Times New Roman"/>
          <w:color w:val="000000"/>
          <w:szCs w:val="20"/>
          <w:lang w:eastAsia="en-GB"/>
        </w:rPr>
      </w:pPr>
      <w:bookmarkStart w:id="14" w:name="_Toc218696006"/>
      <w:r w:rsidRPr="00116055">
        <w:t>Audit and Review</w:t>
      </w:r>
      <w:bookmarkEnd w:id="14"/>
    </w:p>
    <w:p w14:paraId="5D180324" w14:textId="77777777" w:rsidR="00CE1D9C" w:rsidRDefault="00CE1D9C" w:rsidP="00F128D4">
      <w:pPr>
        <w:rPr>
          <w:rFonts w:cs="Arial"/>
          <w:szCs w:val="28"/>
        </w:rPr>
      </w:pPr>
    </w:p>
    <w:p w14:paraId="6F943C08" w14:textId="77777777" w:rsidR="002B7D55" w:rsidRDefault="00B72E54" w:rsidP="002B7D55">
      <w:pPr>
        <w:pStyle w:val="PolLevel2"/>
        <w:numPr>
          <w:ilvl w:val="1"/>
          <w:numId w:val="15"/>
        </w:numPr>
        <w:spacing w:after="231" w:line="250" w:lineRule="auto"/>
        <w:ind w:left="1134" w:hanging="1134"/>
        <w:jc w:val="both"/>
      </w:pPr>
      <w:r>
        <w:t>Each Executive Director will be responsible for monitoring the implementation of this policy in his/her Directorate and taking action to ensure its principles are achieved.</w:t>
      </w:r>
    </w:p>
    <w:p w14:paraId="4FF8295D" w14:textId="547D8CED" w:rsidR="00B72E54" w:rsidRDefault="00B72E54" w:rsidP="002B7D55">
      <w:pPr>
        <w:pStyle w:val="PolLevel2"/>
        <w:numPr>
          <w:ilvl w:val="1"/>
          <w:numId w:val="15"/>
        </w:numPr>
        <w:spacing w:after="231" w:line="250" w:lineRule="auto"/>
        <w:ind w:left="1134" w:hanging="1134"/>
        <w:jc w:val="both"/>
      </w:pPr>
      <w:r>
        <w:t>This policy will be reviewed every 3 years by the People Professional Department in partnership with Staff Organisations to ensure it is meeting its aims and objectives.</w:t>
      </w:r>
    </w:p>
    <w:p w14:paraId="36510101" w14:textId="38AA4CD2" w:rsidR="00CE1D9C" w:rsidRPr="00CE1D9C" w:rsidRDefault="005446F6" w:rsidP="009342E3">
      <w:pPr>
        <w:pStyle w:val="Heading1"/>
        <w:numPr>
          <w:ilvl w:val="0"/>
          <w:numId w:val="15"/>
        </w:numPr>
        <w:ind w:left="1134" w:hanging="1134"/>
        <w:rPr>
          <w:szCs w:val="20"/>
        </w:rPr>
      </w:pPr>
      <w:bookmarkStart w:id="15" w:name="_Toc218696007"/>
      <w:r w:rsidRPr="00CE1D9C">
        <w:t>Associated Trust Documentation</w:t>
      </w:r>
      <w:bookmarkEnd w:id="15"/>
    </w:p>
    <w:p w14:paraId="0DAEB661" w14:textId="77777777" w:rsidR="00CE1D9C" w:rsidRDefault="00CE1D9C" w:rsidP="00F128D4">
      <w:pPr>
        <w:rPr>
          <w:rFonts w:cs="Arial"/>
          <w:bCs/>
          <w:szCs w:val="28"/>
        </w:rPr>
      </w:pPr>
    </w:p>
    <w:p w14:paraId="302515C4" w14:textId="5CA05376" w:rsidR="00CE1D9C" w:rsidRPr="005D583C" w:rsidRDefault="00B87657" w:rsidP="001F0CA9">
      <w:pPr>
        <w:pStyle w:val="ListParagraph"/>
        <w:numPr>
          <w:ilvl w:val="2"/>
          <w:numId w:val="6"/>
        </w:numPr>
        <w:rPr>
          <w:bCs/>
          <w:szCs w:val="28"/>
        </w:rPr>
      </w:pPr>
      <w:hyperlink r:id="rId12" w:history="1">
        <w:r w:rsidRPr="005D583C">
          <w:rPr>
            <w:rStyle w:val="Hyperlink"/>
            <w:bCs/>
          </w:rPr>
          <w:t>Overtime Policy</w:t>
        </w:r>
      </w:hyperlink>
    </w:p>
    <w:p w14:paraId="164E8B9C" w14:textId="77777777" w:rsidR="00CE1D9C" w:rsidRDefault="00CE1D9C" w:rsidP="00F128D4">
      <w:pPr>
        <w:rPr>
          <w:bCs/>
        </w:rPr>
      </w:pPr>
    </w:p>
    <w:p w14:paraId="28CAAB92" w14:textId="3BFF9CC3" w:rsidR="00CE1D9C" w:rsidRPr="005D583C" w:rsidRDefault="002B7D55" w:rsidP="001F0CA9">
      <w:pPr>
        <w:pStyle w:val="ListParagraph"/>
        <w:numPr>
          <w:ilvl w:val="2"/>
          <w:numId w:val="6"/>
        </w:numPr>
        <w:rPr>
          <w:bCs/>
        </w:rPr>
      </w:pPr>
      <w:r w:rsidRPr="002B7D55">
        <w:rPr>
          <w:bCs/>
        </w:rPr>
        <w:t>Working</w:t>
      </w:r>
      <w:r>
        <w:t xml:space="preserve"> Time </w:t>
      </w:r>
      <w:r w:rsidR="005C2889">
        <w:t>Directive</w:t>
      </w:r>
      <w:r>
        <w:t xml:space="preserve"> Policy</w:t>
      </w:r>
    </w:p>
    <w:p w14:paraId="5601B55F" w14:textId="77777777" w:rsidR="00CE1D9C" w:rsidRDefault="00CE1D9C" w:rsidP="00F128D4">
      <w:pPr>
        <w:rPr>
          <w:bCs/>
        </w:rPr>
      </w:pPr>
    </w:p>
    <w:p w14:paraId="5452D4E5" w14:textId="7A3F39CF" w:rsidR="00CE1D9C" w:rsidRPr="002B7D55" w:rsidRDefault="002B7D55" w:rsidP="001F0CA9">
      <w:pPr>
        <w:pStyle w:val="ListParagraph"/>
        <w:numPr>
          <w:ilvl w:val="2"/>
          <w:numId w:val="6"/>
        </w:numPr>
        <w:rPr>
          <w:bCs/>
        </w:rPr>
      </w:pPr>
      <w:proofErr w:type="spellStart"/>
      <w:r w:rsidRPr="002B7D55">
        <w:rPr>
          <w:bCs/>
        </w:rPr>
        <w:t>Mananging</w:t>
      </w:r>
      <w:proofErr w:type="spellEnd"/>
      <w:r>
        <w:t xml:space="preserve"> Conduct Policy</w:t>
      </w:r>
    </w:p>
    <w:p w14:paraId="0300BB5E" w14:textId="77777777" w:rsidR="002B7D55" w:rsidRPr="002B7D55" w:rsidRDefault="002B7D55" w:rsidP="002B7D55">
      <w:pPr>
        <w:pStyle w:val="ListParagraph"/>
        <w:rPr>
          <w:rStyle w:val="Hyperlink"/>
          <w:bCs/>
          <w:color w:val="auto"/>
          <w:u w:val="none"/>
        </w:rPr>
      </w:pPr>
    </w:p>
    <w:p w14:paraId="31AADD83" w14:textId="4749A417" w:rsidR="002B7D55" w:rsidRPr="005D583C" w:rsidRDefault="00692333" w:rsidP="001F0CA9">
      <w:pPr>
        <w:pStyle w:val="ListParagraph"/>
        <w:numPr>
          <w:ilvl w:val="2"/>
          <w:numId w:val="6"/>
        </w:numPr>
        <w:rPr>
          <w:rStyle w:val="Hyperlink"/>
          <w:bCs/>
          <w:color w:val="auto"/>
          <w:u w:val="none"/>
        </w:rPr>
      </w:pPr>
      <w:r>
        <w:rPr>
          <w:rStyle w:val="Hyperlink"/>
          <w:bCs/>
          <w:color w:val="auto"/>
          <w:u w:val="none"/>
        </w:rPr>
        <w:t>Resolution Policy</w:t>
      </w:r>
    </w:p>
    <w:p w14:paraId="024D4106" w14:textId="77777777" w:rsidR="00CE1D9C" w:rsidRDefault="00CE1D9C" w:rsidP="00F128D4">
      <w:pPr>
        <w:rPr>
          <w:rStyle w:val="Hyperlink"/>
          <w:bCs/>
        </w:rPr>
      </w:pPr>
    </w:p>
    <w:p w14:paraId="2BC308F3" w14:textId="08BE2990" w:rsidR="00CE1D9C" w:rsidRPr="005D583C" w:rsidRDefault="00B361AA" w:rsidP="001F0CA9">
      <w:pPr>
        <w:pStyle w:val="ListParagraph"/>
        <w:numPr>
          <w:ilvl w:val="2"/>
          <w:numId w:val="6"/>
        </w:numPr>
        <w:rPr>
          <w:bCs/>
        </w:rPr>
      </w:pPr>
      <w:hyperlink r:id="rId13" w:history="1">
        <w:r w:rsidRPr="005D583C">
          <w:rPr>
            <w:rStyle w:val="Hyperlink"/>
            <w:bCs/>
          </w:rPr>
          <w:t>Anti-Fraud and Bribery Policy</w:t>
        </w:r>
      </w:hyperlink>
    </w:p>
    <w:p w14:paraId="1AF62525" w14:textId="77777777" w:rsidR="00CE1D9C" w:rsidRDefault="00CE1D9C" w:rsidP="00F128D4">
      <w:pPr>
        <w:rPr>
          <w:bCs/>
        </w:rPr>
      </w:pPr>
    </w:p>
    <w:p w14:paraId="21A3E78C" w14:textId="743B1DE1" w:rsidR="00CE1D9C" w:rsidRPr="005D583C" w:rsidRDefault="009C0D50" w:rsidP="001F0CA9">
      <w:pPr>
        <w:pStyle w:val="ListParagraph"/>
        <w:numPr>
          <w:ilvl w:val="2"/>
          <w:numId w:val="6"/>
        </w:numPr>
        <w:rPr>
          <w:bCs/>
        </w:rPr>
      </w:pPr>
      <w:hyperlink r:id="rId14" w:history="1">
        <w:r w:rsidRPr="005D583C">
          <w:rPr>
            <w:rStyle w:val="Hyperlink"/>
            <w:rFonts w:eastAsia="Calibri"/>
          </w:rPr>
          <w:t>Declarations of Interests, Gifts, Hospitality and Incentives Policy</w:t>
        </w:r>
      </w:hyperlink>
    </w:p>
    <w:p w14:paraId="3C6AB2A3" w14:textId="77777777" w:rsidR="00CE1D9C" w:rsidRDefault="00CE1D9C" w:rsidP="00F128D4">
      <w:pPr>
        <w:rPr>
          <w:bCs/>
        </w:rPr>
      </w:pPr>
    </w:p>
    <w:p w14:paraId="0FBFAD39" w14:textId="27F6A6D3" w:rsidR="00F128D4" w:rsidRPr="005D583C" w:rsidRDefault="00E67F80" w:rsidP="001F0CA9">
      <w:pPr>
        <w:pStyle w:val="ListParagraph"/>
        <w:numPr>
          <w:ilvl w:val="2"/>
          <w:numId w:val="6"/>
        </w:numPr>
        <w:rPr>
          <w:bCs/>
        </w:rPr>
      </w:pPr>
      <w:hyperlink r:id="rId15" w:history="1">
        <w:r w:rsidRPr="00E67F80">
          <w:rPr>
            <w:rStyle w:val="Hyperlink"/>
          </w:rPr>
          <w:t>Capability Policy</w:t>
        </w:r>
      </w:hyperlink>
    </w:p>
    <w:p w14:paraId="22983C99" w14:textId="77777777" w:rsidR="00CE1D9C" w:rsidRDefault="00CE1D9C" w:rsidP="00F128D4">
      <w:pPr>
        <w:rPr>
          <w:bCs/>
        </w:rPr>
      </w:pPr>
    </w:p>
    <w:p w14:paraId="369D46FC" w14:textId="1C451DE3" w:rsidR="00F128D4" w:rsidRPr="005D583C" w:rsidRDefault="00E8749C" w:rsidP="001F0CA9">
      <w:pPr>
        <w:pStyle w:val="ListParagraph"/>
        <w:numPr>
          <w:ilvl w:val="2"/>
          <w:numId w:val="6"/>
        </w:numPr>
        <w:rPr>
          <w:bCs/>
        </w:rPr>
      </w:pPr>
      <w:hyperlink r:id="rId16" w:anchor="p" w:history="1">
        <w:r w:rsidRPr="00E8749C">
          <w:rPr>
            <w:rStyle w:val="Hyperlink"/>
          </w:rPr>
          <w:t>Policy on Policies</w:t>
        </w:r>
      </w:hyperlink>
      <w:bookmarkStart w:id="16" w:name="_Toc33001955"/>
      <w:bookmarkStart w:id="17" w:name="_Toc45620297"/>
      <w:bookmarkStart w:id="18" w:name="_Toc45620368"/>
    </w:p>
    <w:p w14:paraId="3513E7E0" w14:textId="77777777" w:rsidR="00F128D4" w:rsidRDefault="00F128D4" w:rsidP="00F128D4">
      <w:pPr>
        <w:rPr>
          <w:bCs/>
        </w:rPr>
      </w:pPr>
    </w:p>
    <w:p w14:paraId="14908236" w14:textId="42A0D856" w:rsidR="00F128D4" w:rsidRDefault="0011441F" w:rsidP="004F069A">
      <w:pPr>
        <w:pStyle w:val="Heading1"/>
        <w:numPr>
          <w:ilvl w:val="0"/>
          <w:numId w:val="15"/>
        </w:numPr>
        <w:ind w:left="1134" w:hanging="1134"/>
      </w:pPr>
      <w:bookmarkStart w:id="19" w:name="_Toc218696008"/>
      <w:r w:rsidRPr="00B77434">
        <w:t>Financial</w:t>
      </w:r>
      <w:bookmarkEnd w:id="19"/>
      <w:r w:rsidRPr="00B77434">
        <w:t xml:space="preserve"> </w:t>
      </w:r>
      <w:bookmarkEnd w:id="16"/>
      <w:bookmarkEnd w:id="17"/>
      <w:bookmarkEnd w:id="18"/>
    </w:p>
    <w:p w14:paraId="723DD091" w14:textId="77777777" w:rsidR="004F069A" w:rsidRPr="004F069A" w:rsidRDefault="004F069A" w:rsidP="004F069A"/>
    <w:p w14:paraId="0CEF5468" w14:textId="77777777" w:rsidR="00A9545B" w:rsidRDefault="00B77434" w:rsidP="00A9545B">
      <w:pPr>
        <w:pStyle w:val="PolLevel2"/>
        <w:numPr>
          <w:ilvl w:val="1"/>
          <w:numId w:val="15"/>
        </w:numPr>
        <w:spacing w:after="231" w:line="250" w:lineRule="auto"/>
        <w:ind w:left="1134" w:hanging="1134"/>
        <w:jc w:val="both"/>
      </w:pPr>
      <w:r w:rsidRPr="00BD0A97">
        <w:t>To ensure that any financial implications of changes in policy or procedure are considered in advance of document approval, document authors are required to seek approval from the Finance Team before submitting their document for final approval.</w:t>
      </w:r>
    </w:p>
    <w:p w14:paraId="24D96B6B" w14:textId="0D18D6A6" w:rsidR="00A9545B" w:rsidRPr="00A9545B" w:rsidRDefault="00B77434" w:rsidP="00A9545B">
      <w:pPr>
        <w:pStyle w:val="PolLevel2"/>
        <w:numPr>
          <w:ilvl w:val="1"/>
          <w:numId w:val="15"/>
        </w:numPr>
        <w:spacing w:after="231" w:line="250" w:lineRule="auto"/>
        <w:ind w:left="1134" w:hanging="1134"/>
        <w:jc w:val="both"/>
      </w:pPr>
      <w:r w:rsidRPr="00B57C26">
        <w:t>This document has been confirmed by Finance to have no unbudgeted financial implications.</w:t>
      </w:r>
      <w:bookmarkStart w:id="20" w:name="_Toc88478674"/>
    </w:p>
    <w:p w14:paraId="43FAAF47" w14:textId="3BE0FD38" w:rsidR="00A9545B" w:rsidRDefault="002E7E7D" w:rsidP="00A9545B">
      <w:pPr>
        <w:spacing w:before="360" w:after="240"/>
        <w:outlineLvl w:val="0"/>
        <w:rPr>
          <w:b/>
          <w:bCs/>
          <w:sz w:val="28"/>
          <w:szCs w:val="28"/>
        </w:rPr>
      </w:pPr>
      <w:bookmarkStart w:id="21" w:name="_Toc210821624"/>
      <w:bookmarkStart w:id="22" w:name="_Toc218696009"/>
      <w:r>
        <w:rPr>
          <w:b/>
          <w:bCs/>
          <w:sz w:val="28"/>
          <w:szCs w:val="28"/>
        </w:rPr>
        <w:t>13</w:t>
      </w:r>
      <w:r w:rsidR="00A9545B">
        <w:rPr>
          <w:b/>
          <w:bCs/>
          <w:sz w:val="28"/>
          <w:szCs w:val="28"/>
        </w:rPr>
        <w:tab/>
        <w:t>Equality Analysis</w:t>
      </w:r>
      <w:bookmarkEnd w:id="20"/>
      <w:bookmarkEnd w:id="21"/>
      <w:bookmarkEnd w:id="22"/>
    </w:p>
    <w:p w14:paraId="0323149B" w14:textId="7CF1110A" w:rsidR="00A9545B" w:rsidRPr="00CD3541" w:rsidRDefault="00A9545B" w:rsidP="004F2768">
      <w:pPr>
        <w:spacing w:line="250" w:lineRule="auto"/>
        <w:ind w:left="1134" w:hanging="1134"/>
        <w:rPr>
          <w:b/>
          <w:szCs w:val="24"/>
        </w:rPr>
      </w:pPr>
      <w:r w:rsidRPr="00CD3541">
        <w:rPr>
          <w:bCs/>
          <w:szCs w:val="24"/>
        </w:rPr>
        <w:t>1</w:t>
      </w:r>
      <w:r w:rsidR="004F2768">
        <w:rPr>
          <w:bCs/>
          <w:szCs w:val="24"/>
        </w:rPr>
        <w:t>3</w:t>
      </w:r>
      <w:r w:rsidRPr="00CD3541">
        <w:rPr>
          <w:bCs/>
          <w:szCs w:val="24"/>
        </w:rPr>
        <w:t>.1</w:t>
      </w:r>
      <w:r w:rsidRPr="00CD3541">
        <w:rPr>
          <w:b/>
          <w:szCs w:val="24"/>
        </w:rPr>
        <w:tab/>
      </w:r>
      <w:r w:rsidRPr="00CD3541">
        <w:rPr>
          <w:szCs w:val="24"/>
        </w:rPr>
        <w:t>The Trust believes in fairness and equality, and values diversity in its role as both a provider of services and as an employer. The Trust aims to provide accessible services that respect the needs of each individual and exclude no-one. It is committed to comply with the Human Rights Act and to meeting the Equality Act 2010, which identifies the following nine protected characteristics: Age, Disability, Race, Religion and Belief, Gender Reassignment, Sexual Orientation, Sex, Marriage and Civil Partnership and Pregnancy and Maternity.</w:t>
      </w:r>
      <w:r w:rsidRPr="00CD3541">
        <w:rPr>
          <w:b/>
          <w:szCs w:val="24"/>
        </w:rPr>
        <w:t xml:space="preserve">  </w:t>
      </w:r>
      <w:bookmarkEnd w:id="0"/>
    </w:p>
    <w:sectPr w:rsidR="00A9545B" w:rsidRPr="00CD3541" w:rsidSect="005C0326">
      <w:headerReference w:type="even" r:id="rId17"/>
      <w:headerReference w:type="first" r:id="rId1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90491" w14:textId="77777777" w:rsidR="006F0BD2" w:rsidRDefault="006F0BD2">
      <w:r>
        <w:separator/>
      </w:r>
    </w:p>
    <w:p w14:paraId="16F0E574" w14:textId="77777777" w:rsidR="006F0BD2" w:rsidRDefault="006F0BD2"/>
    <w:p w14:paraId="329F3E27" w14:textId="77777777" w:rsidR="006F0BD2" w:rsidRDefault="006F0BD2"/>
    <w:p w14:paraId="22201BB0" w14:textId="77777777" w:rsidR="006F0BD2" w:rsidRDefault="006F0BD2"/>
    <w:p w14:paraId="44D2E749" w14:textId="77777777" w:rsidR="006F0BD2" w:rsidRDefault="006F0BD2"/>
    <w:p w14:paraId="69FFA5C5" w14:textId="77777777" w:rsidR="006F0BD2" w:rsidRDefault="006F0BD2"/>
    <w:p w14:paraId="0F8776FF" w14:textId="77777777" w:rsidR="006F0BD2" w:rsidRDefault="006F0BD2"/>
    <w:p w14:paraId="5AECD4D9" w14:textId="77777777" w:rsidR="006F0BD2" w:rsidRDefault="006F0BD2"/>
    <w:p w14:paraId="4AAE7C39" w14:textId="77777777" w:rsidR="006F0BD2" w:rsidRDefault="006F0BD2"/>
    <w:p w14:paraId="22E0660F" w14:textId="77777777" w:rsidR="006F0BD2" w:rsidRDefault="006F0BD2"/>
    <w:p w14:paraId="15B80EA4" w14:textId="77777777" w:rsidR="006F0BD2" w:rsidRDefault="006F0BD2"/>
    <w:p w14:paraId="51165E1A" w14:textId="77777777" w:rsidR="006F0BD2" w:rsidRDefault="006F0BD2"/>
    <w:p w14:paraId="6224F1F2" w14:textId="77777777" w:rsidR="006F0BD2" w:rsidRDefault="006F0BD2"/>
    <w:p w14:paraId="3E62BD56" w14:textId="77777777" w:rsidR="006F0BD2" w:rsidRDefault="006F0BD2"/>
    <w:p w14:paraId="6D065FB6" w14:textId="77777777" w:rsidR="006F0BD2" w:rsidRDefault="006F0BD2"/>
    <w:p w14:paraId="2892B04C" w14:textId="77777777" w:rsidR="006F0BD2" w:rsidRDefault="006F0BD2"/>
    <w:p w14:paraId="1E820BBC" w14:textId="77777777" w:rsidR="006F0BD2" w:rsidRDefault="006F0BD2"/>
    <w:p w14:paraId="7E08E0A4" w14:textId="77777777" w:rsidR="006F0BD2" w:rsidRDefault="006F0BD2"/>
    <w:p w14:paraId="359F005F" w14:textId="77777777" w:rsidR="006F0BD2" w:rsidRDefault="006F0BD2"/>
    <w:p w14:paraId="2FDDFBAD" w14:textId="77777777" w:rsidR="006F0BD2" w:rsidRDefault="006F0BD2"/>
    <w:p w14:paraId="720CFA68" w14:textId="77777777" w:rsidR="006F0BD2" w:rsidRDefault="006F0BD2"/>
    <w:p w14:paraId="76EF4A75" w14:textId="77777777" w:rsidR="006F0BD2" w:rsidRDefault="006F0BD2"/>
    <w:p w14:paraId="5508733F" w14:textId="77777777" w:rsidR="006F0BD2" w:rsidRDefault="006F0BD2"/>
    <w:p w14:paraId="403A24C2" w14:textId="77777777" w:rsidR="006F0BD2" w:rsidRDefault="006F0BD2"/>
    <w:p w14:paraId="11A0FD66" w14:textId="77777777" w:rsidR="006F0BD2" w:rsidRDefault="006F0BD2"/>
    <w:p w14:paraId="6825DA24" w14:textId="77777777" w:rsidR="006F0BD2" w:rsidRDefault="006F0BD2"/>
    <w:p w14:paraId="0F2E77BD" w14:textId="77777777" w:rsidR="006F0BD2" w:rsidRDefault="006F0BD2"/>
    <w:p w14:paraId="04B44D47" w14:textId="77777777" w:rsidR="006F0BD2" w:rsidRDefault="006F0BD2"/>
    <w:p w14:paraId="14055870" w14:textId="77777777" w:rsidR="006F0BD2" w:rsidRDefault="006F0BD2"/>
    <w:p w14:paraId="2C1E8AA5" w14:textId="77777777" w:rsidR="006F0BD2" w:rsidRDefault="006F0BD2"/>
    <w:p w14:paraId="2AB99A22" w14:textId="77777777" w:rsidR="006F0BD2" w:rsidRDefault="006F0BD2"/>
    <w:p w14:paraId="2D5ADB0D" w14:textId="77777777" w:rsidR="006F0BD2" w:rsidRDefault="006F0BD2"/>
    <w:p w14:paraId="11924D41" w14:textId="77777777" w:rsidR="006F0BD2" w:rsidRDefault="006F0BD2"/>
    <w:p w14:paraId="34AA6DB0" w14:textId="77777777" w:rsidR="006F0BD2" w:rsidRDefault="006F0BD2"/>
    <w:p w14:paraId="093EBFD3" w14:textId="77777777" w:rsidR="006F0BD2" w:rsidRDefault="006F0BD2"/>
    <w:p w14:paraId="4751AEAF" w14:textId="77777777" w:rsidR="006F0BD2" w:rsidRDefault="006F0BD2"/>
    <w:p w14:paraId="23A74FC9" w14:textId="77777777" w:rsidR="006F0BD2" w:rsidRDefault="006F0BD2"/>
    <w:p w14:paraId="64AC8E2F" w14:textId="77777777" w:rsidR="006F0BD2" w:rsidRDefault="006F0BD2"/>
    <w:p w14:paraId="4AD79BCE" w14:textId="77777777" w:rsidR="006F0BD2" w:rsidRDefault="006F0BD2"/>
    <w:p w14:paraId="4C811BE8" w14:textId="77777777" w:rsidR="006F0BD2" w:rsidRDefault="006F0BD2"/>
  </w:endnote>
  <w:endnote w:type="continuationSeparator" w:id="0">
    <w:p w14:paraId="1324FB30" w14:textId="77777777" w:rsidR="006F0BD2" w:rsidRDefault="006F0BD2">
      <w:r>
        <w:continuationSeparator/>
      </w:r>
    </w:p>
    <w:p w14:paraId="0CC520BB" w14:textId="77777777" w:rsidR="006F0BD2" w:rsidRDefault="006F0BD2"/>
    <w:p w14:paraId="01855392" w14:textId="77777777" w:rsidR="006F0BD2" w:rsidRDefault="006F0BD2"/>
    <w:p w14:paraId="72E3ACE7" w14:textId="77777777" w:rsidR="006F0BD2" w:rsidRDefault="006F0BD2"/>
    <w:p w14:paraId="236D01D9" w14:textId="77777777" w:rsidR="006F0BD2" w:rsidRDefault="006F0BD2"/>
    <w:p w14:paraId="27EC9E73" w14:textId="77777777" w:rsidR="006F0BD2" w:rsidRDefault="006F0BD2"/>
    <w:p w14:paraId="3B877998" w14:textId="77777777" w:rsidR="006F0BD2" w:rsidRDefault="006F0BD2"/>
    <w:p w14:paraId="57509190" w14:textId="77777777" w:rsidR="006F0BD2" w:rsidRDefault="006F0BD2"/>
    <w:p w14:paraId="48ED16E1" w14:textId="77777777" w:rsidR="006F0BD2" w:rsidRDefault="006F0BD2"/>
    <w:p w14:paraId="4A93A036" w14:textId="77777777" w:rsidR="006F0BD2" w:rsidRDefault="006F0BD2"/>
    <w:p w14:paraId="1C7615BB" w14:textId="77777777" w:rsidR="006F0BD2" w:rsidRDefault="006F0BD2"/>
    <w:p w14:paraId="792C5FCD" w14:textId="77777777" w:rsidR="006F0BD2" w:rsidRDefault="006F0BD2"/>
    <w:p w14:paraId="36643681" w14:textId="77777777" w:rsidR="006F0BD2" w:rsidRDefault="006F0BD2"/>
    <w:p w14:paraId="3D8BD698" w14:textId="77777777" w:rsidR="006F0BD2" w:rsidRDefault="006F0BD2"/>
    <w:p w14:paraId="38B455FE" w14:textId="77777777" w:rsidR="006F0BD2" w:rsidRDefault="006F0BD2"/>
    <w:p w14:paraId="7953C3C4" w14:textId="77777777" w:rsidR="006F0BD2" w:rsidRDefault="006F0BD2"/>
    <w:p w14:paraId="1D8A35E2" w14:textId="77777777" w:rsidR="006F0BD2" w:rsidRDefault="006F0BD2"/>
    <w:p w14:paraId="5A41E65B" w14:textId="77777777" w:rsidR="006F0BD2" w:rsidRDefault="006F0BD2"/>
    <w:p w14:paraId="2D2F274C" w14:textId="77777777" w:rsidR="006F0BD2" w:rsidRDefault="006F0BD2"/>
    <w:p w14:paraId="05035A37" w14:textId="77777777" w:rsidR="006F0BD2" w:rsidRDefault="006F0BD2"/>
    <w:p w14:paraId="6CA8AE05" w14:textId="77777777" w:rsidR="006F0BD2" w:rsidRDefault="006F0BD2"/>
    <w:p w14:paraId="1E28DEF1" w14:textId="77777777" w:rsidR="006F0BD2" w:rsidRDefault="006F0BD2"/>
    <w:p w14:paraId="20FD9766" w14:textId="77777777" w:rsidR="006F0BD2" w:rsidRDefault="006F0BD2"/>
    <w:p w14:paraId="3BA5E159" w14:textId="77777777" w:rsidR="006F0BD2" w:rsidRDefault="006F0BD2"/>
    <w:p w14:paraId="65C2DD22" w14:textId="77777777" w:rsidR="006F0BD2" w:rsidRDefault="006F0BD2"/>
    <w:p w14:paraId="7FAA5E54" w14:textId="77777777" w:rsidR="006F0BD2" w:rsidRDefault="006F0BD2"/>
    <w:p w14:paraId="45F1BBD2" w14:textId="77777777" w:rsidR="006F0BD2" w:rsidRDefault="006F0BD2"/>
    <w:p w14:paraId="65BF3224" w14:textId="77777777" w:rsidR="006F0BD2" w:rsidRDefault="006F0BD2"/>
    <w:p w14:paraId="72F37A86" w14:textId="77777777" w:rsidR="006F0BD2" w:rsidRDefault="006F0BD2"/>
    <w:p w14:paraId="01B052A8" w14:textId="77777777" w:rsidR="006F0BD2" w:rsidRDefault="006F0BD2"/>
    <w:p w14:paraId="645FA0C4" w14:textId="77777777" w:rsidR="006F0BD2" w:rsidRDefault="006F0BD2"/>
    <w:p w14:paraId="43A75FB7" w14:textId="77777777" w:rsidR="006F0BD2" w:rsidRDefault="006F0BD2"/>
    <w:p w14:paraId="070FB82A" w14:textId="77777777" w:rsidR="006F0BD2" w:rsidRDefault="006F0BD2"/>
    <w:p w14:paraId="0118DE15" w14:textId="77777777" w:rsidR="006F0BD2" w:rsidRDefault="006F0BD2"/>
    <w:p w14:paraId="320C6F4C" w14:textId="77777777" w:rsidR="006F0BD2" w:rsidRDefault="006F0BD2"/>
    <w:p w14:paraId="22167BC6" w14:textId="77777777" w:rsidR="006F0BD2" w:rsidRDefault="006F0BD2"/>
    <w:p w14:paraId="53970CA5" w14:textId="77777777" w:rsidR="006F0BD2" w:rsidRDefault="006F0BD2"/>
    <w:p w14:paraId="64CCF07E" w14:textId="77777777" w:rsidR="006F0BD2" w:rsidRDefault="006F0BD2"/>
    <w:p w14:paraId="2532EC24" w14:textId="77777777" w:rsidR="006F0BD2" w:rsidRDefault="006F0BD2"/>
    <w:p w14:paraId="2D99D6CE" w14:textId="77777777" w:rsidR="006F0BD2" w:rsidRDefault="006F0BD2"/>
  </w:endnote>
  <w:endnote w:type="continuationNotice" w:id="1">
    <w:p w14:paraId="7DBBAF15" w14:textId="77777777" w:rsidR="006F0BD2" w:rsidRDefault="006F0B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8E1E" w14:textId="77777777" w:rsidR="006F0BD2" w:rsidRDefault="006F0BD2">
      <w:r>
        <w:separator/>
      </w:r>
    </w:p>
    <w:p w14:paraId="5ACACF1E" w14:textId="77777777" w:rsidR="006F0BD2" w:rsidRDefault="006F0BD2"/>
    <w:p w14:paraId="317890E9" w14:textId="77777777" w:rsidR="006F0BD2" w:rsidRDefault="006F0BD2"/>
    <w:p w14:paraId="795BFA68" w14:textId="77777777" w:rsidR="006F0BD2" w:rsidRDefault="006F0BD2"/>
    <w:p w14:paraId="58A257B9" w14:textId="77777777" w:rsidR="006F0BD2" w:rsidRDefault="006F0BD2"/>
    <w:p w14:paraId="670C3C6E" w14:textId="77777777" w:rsidR="006F0BD2" w:rsidRDefault="006F0BD2"/>
    <w:p w14:paraId="5B773B33" w14:textId="77777777" w:rsidR="006F0BD2" w:rsidRDefault="006F0BD2"/>
    <w:p w14:paraId="0826FB4F" w14:textId="77777777" w:rsidR="006F0BD2" w:rsidRDefault="006F0BD2"/>
    <w:p w14:paraId="5A83A8C4" w14:textId="77777777" w:rsidR="006F0BD2" w:rsidRDefault="006F0BD2"/>
    <w:p w14:paraId="07EE4158" w14:textId="77777777" w:rsidR="006F0BD2" w:rsidRDefault="006F0BD2"/>
    <w:p w14:paraId="5A4D9426" w14:textId="77777777" w:rsidR="006F0BD2" w:rsidRDefault="006F0BD2"/>
    <w:p w14:paraId="6D396512" w14:textId="77777777" w:rsidR="006F0BD2" w:rsidRDefault="006F0BD2"/>
    <w:p w14:paraId="4DE759A0" w14:textId="77777777" w:rsidR="006F0BD2" w:rsidRDefault="006F0BD2"/>
    <w:p w14:paraId="3F663328" w14:textId="77777777" w:rsidR="006F0BD2" w:rsidRDefault="006F0BD2"/>
    <w:p w14:paraId="4EC54BD0" w14:textId="77777777" w:rsidR="006F0BD2" w:rsidRDefault="006F0BD2"/>
    <w:p w14:paraId="01FA52F1" w14:textId="77777777" w:rsidR="006F0BD2" w:rsidRDefault="006F0BD2"/>
    <w:p w14:paraId="7B4C9BFF" w14:textId="77777777" w:rsidR="006F0BD2" w:rsidRDefault="006F0BD2"/>
    <w:p w14:paraId="45098B89" w14:textId="77777777" w:rsidR="006F0BD2" w:rsidRDefault="006F0BD2"/>
    <w:p w14:paraId="1A3AE7F4" w14:textId="77777777" w:rsidR="006F0BD2" w:rsidRDefault="006F0BD2"/>
    <w:p w14:paraId="60E145AB" w14:textId="77777777" w:rsidR="006F0BD2" w:rsidRDefault="006F0BD2"/>
    <w:p w14:paraId="3D3A9CA5" w14:textId="77777777" w:rsidR="006F0BD2" w:rsidRDefault="006F0BD2"/>
    <w:p w14:paraId="0C983286" w14:textId="77777777" w:rsidR="006F0BD2" w:rsidRDefault="006F0BD2"/>
    <w:p w14:paraId="45D6E438" w14:textId="77777777" w:rsidR="006F0BD2" w:rsidRDefault="006F0BD2"/>
    <w:p w14:paraId="5FFE1242" w14:textId="77777777" w:rsidR="006F0BD2" w:rsidRDefault="006F0BD2"/>
    <w:p w14:paraId="310F469E" w14:textId="77777777" w:rsidR="006F0BD2" w:rsidRDefault="006F0BD2"/>
    <w:p w14:paraId="3214F0AB" w14:textId="77777777" w:rsidR="006F0BD2" w:rsidRDefault="006F0BD2"/>
    <w:p w14:paraId="68619EB8" w14:textId="77777777" w:rsidR="006F0BD2" w:rsidRDefault="006F0BD2"/>
    <w:p w14:paraId="0412E771" w14:textId="77777777" w:rsidR="006F0BD2" w:rsidRDefault="006F0BD2"/>
    <w:p w14:paraId="6445916C" w14:textId="77777777" w:rsidR="006F0BD2" w:rsidRDefault="006F0BD2"/>
    <w:p w14:paraId="5BE8BEFD" w14:textId="77777777" w:rsidR="006F0BD2" w:rsidRDefault="006F0BD2"/>
    <w:p w14:paraId="0AF3D930" w14:textId="77777777" w:rsidR="006F0BD2" w:rsidRDefault="006F0BD2"/>
    <w:p w14:paraId="47DFC1C8" w14:textId="77777777" w:rsidR="006F0BD2" w:rsidRDefault="006F0BD2"/>
    <w:p w14:paraId="6E19EA19" w14:textId="77777777" w:rsidR="006F0BD2" w:rsidRDefault="006F0BD2"/>
    <w:p w14:paraId="7336B61E" w14:textId="77777777" w:rsidR="006F0BD2" w:rsidRDefault="006F0BD2"/>
    <w:p w14:paraId="14F5929D" w14:textId="77777777" w:rsidR="006F0BD2" w:rsidRDefault="006F0BD2"/>
    <w:p w14:paraId="2C06524D" w14:textId="77777777" w:rsidR="006F0BD2" w:rsidRDefault="006F0BD2"/>
    <w:p w14:paraId="09900F78" w14:textId="77777777" w:rsidR="006F0BD2" w:rsidRDefault="006F0BD2"/>
    <w:p w14:paraId="76AE2A9C" w14:textId="77777777" w:rsidR="006F0BD2" w:rsidRDefault="006F0BD2"/>
    <w:p w14:paraId="12A58F79" w14:textId="77777777" w:rsidR="006F0BD2" w:rsidRDefault="006F0BD2"/>
    <w:p w14:paraId="747DBE8A" w14:textId="77777777" w:rsidR="006F0BD2" w:rsidRDefault="006F0BD2"/>
  </w:footnote>
  <w:footnote w:type="continuationSeparator" w:id="0">
    <w:p w14:paraId="0313459D" w14:textId="77777777" w:rsidR="006F0BD2" w:rsidRDefault="006F0BD2">
      <w:r>
        <w:continuationSeparator/>
      </w:r>
    </w:p>
    <w:p w14:paraId="156242BF" w14:textId="77777777" w:rsidR="006F0BD2" w:rsidRDefault="006F0BD2"/>
    <w:p w14:paraId="75A76164" w14:textId="77777777" w:rsidR="006F0BD2" w:rsidRDefault="006F0BD2"/>
    <w:p w14:paraId="31503F87" w14:textId="77777777" w:rsidR="006F0BD2" w:rsidRDefault="006F0BD2"/>
    <w:p w14:paraId="6EA1DDCE" w14:textId="77777777" w:rsidR="006F0BD2" w:rsidRDefault="006F0BD2"/>
    <w:p w14:paraId="52C717C7" w14:textId="77777777" w:rsidR="006F0BD2" w:rsidRDefault="006F0BD2"/>
    <w:p w14:paraId="3AE81585" w14:textId="77777777" w:rsidR="006F0BD2" w:rsidRDefault="006F0BD2"/>
    <w:p w14:paraId="748E5C31" w14:textId="77777777" w:rsidR="006F0BD2" w:rsidRDefault="006F0BD2"/>
    <w:p w14:paraId="1473AB94" w14:textId="77777777" w:rsidR="006F0BD2" w:rsidRDefault="006F0BD2"/>
    <w:p w14:paraId="348A1645" w14:textId="77777777" w:rsidR="006F0BD2" w:rsidRDefault="006F0BD2"/>
    <w:p w14:paraId="3085362D" w14:textId="77777777" w:rsidR="006F0BD2" w:rsidRDefault="006F0BD2"/>
    <w:p w14:paraId="017C1F6A" w14:textId="77777777" w:rsidR="006F0BD2" w:rsidRDefault="006F0BD2"/>
    <w:p w14:paraId="11CDC86D" w14:textId="77777777" w:rsidR="006F0BD2" w:rsidRDefault="006F0BD2"/>
    <w:p w14:paraId="1E8EC9CE" w14:textId="77777777" w:rsidR="006F0BD2" w:rsidRDefault="006F0BD2"/>
    <w:p w14:paraId="66E09865" w14:textId="77777777" w:rsidR="006F0BD2" w:rsidRDefault="006F0BD2"/>
    <w:p w14:paraId="514357DC" w14:textId="77777777" w:rsidR="006F0BD2" w:rsidRDefault="006F0BD2"/>
    <w:p w14:paraId="1F8E6A24" w14:textId="77777777" w:rsidR="006F0BD2" w:rsidRDefault="006F0BD2"/>
    <w:p w14:paraId="358AAB0A" w14:textId="77777777" w:rsidR="006F0BD2" w:rsidRDefault="006F0BD2"/>
    <w:p w14:paraId="23D06ECF" w14:textId="77777777" w:rsidR="006F0BD2" w:rsidRDefault="006F0BD2"/>
    <w:p w14:paraId="0E37BC51" w14:textId="77777777" w:rsidR="006F0BD2" w:rsidRDefault="006F0BD2"/>
    <w:p w14:paraId="0B401CFC" w14:textId="77777777" w:rsidR="006F0BD2" w:rsidRDefault="006F0BD2"/>
    <w:p w14:paraId="35A4B3CF" w14:textId="77777777" w:rsidR="006F0BD2" w:rsidRDefault="006F0BD2"/>
    <w:p w14:paraId="0A92D1E3" w14:textId="77777777" w:rsidR="006F0BD2" w:rsidRDefault="006F0BD2"/>
    <w:p w14:paraId="3D8AA218" w14:textId="77777777" w:rsidR="006F0BD2" w:rsidRDefault="006F0BD2"/>
    <w:p w14:paraId="0A794824" w14:textId="77777777" w:rsidR="006F0BD2" w:rsidRDefault="006F0BD2"/>
    <w:p w14:paraId="69D14340" w14:textId="77777777" w:rsidR="006F0BD2" w:rsidRDefault="006F0BD2"/>
    <w:p w14:paraId="1C0DD49B" w14:textId="77777777" w:rsidR="006F0BD2" w:rsidRDefault="006F0BD2"/>
    <w:p w14:paraId="59A1F66E" w14:textId="77777777" w:rsidR="006F0BD2" w:rsidRDefault="006F0BD2"/>
    <w:p w14:paraId="3577B5AD" w14:textId="77777777" w:rsidR="006F0BD2" w:rsidRDefault="006F0BD2"/>
    <w:p w14:paraId="4C816DE9" w14:textId="77777777" w:rsidR="006F0BD2" w:rsidRDefault="006F0BD2"/>
    <w:p w14:paraId="1C62691A" w14:textId="77777777" w:rsidR="006F0BD2" w:rsidRDefault="006F0BD2"/>
    <w:p w14:paraId="0666BBAD" w14:textId="77777777" w:rsidR="006F0BD2" w:rsidRDefault="006F0BD2"/>
    <w:p w14:paraId="2E3A9C4A" w14:textId="77777777" w:rsidR="006F0BD2" w:rsidRDefault="006F0BD2"/>
    <w:p w14:paraId="198A7E74" w14:textId="77777777" w:rsidR="006F0BD2" w:rsidRDefault="006F0BD2"/>
    <w:p w14:paraId="7121EB20" w14:textId="77777777" w:rsidR="006F0BD2" w:rsidRDefault="006F0BD2"/>
    <w:p w14:paraId="3D46134D" w14:textId="77777777" w:rsidR="006F0BD2" w:rsidRDefault="006F0BD2"/>
    <w:p w14:paraId="445F415F" w14:textId="77777777" w:rsidR="006F0BD2" w:rsidRDefault="006F0BD2"/>
    <w:p w14:paraId="155BAF88" w14:textId="77777777" w:rsidR="006F0BD2" w:rsidRDefault="006F0BD2"/>
    <w:p w14:paraId="7969BBF6" w14:textId="77777777" w:rsidR="006F0BD2" w:rsidRDefault="006F0BD2"/>
    <w:p w14:paraId="685CB81D" w14:textId="77777777" w:rsidR="006F0BD2" w:rsidRDefault="006F0BD2"/>
  </w:footnote>
  <w:footnote w:type="continuationNotice" w:id="1">
    <w:p w14:paraId="2B95C919" w14:textId="77777777" w:rsidR="006F0BD2" w:rsidRDefault="006F0B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BB07" w14:textId="77777777" w:rsidR="00B94A60" w:rsidRDefault="00B94A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2D461" w14:textId="77777777" w:rsidR="00B94A60" w:rsidRDefault="00B94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6721"/>
    <w:multiLevelType w:val="multilevel"/>
    <w:tmpl w:val="D762767C"/>
    <w:lvl w:ilvl="0">
      <w:start w:val="1"/>
      <w:numFmt w:val="decimal"/>
      <w:pStyle w:val="StyleArialBold12ptBoldAllcaps"/>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9482ED9"/>
    <w:multiLevelType w:val="multilevel"/>
    <w:tmpl w:val="102A85DC"/>
    <w:lvl w:ilvl="0">
      <w:start w:val="6"/>
      <w:numFmt w:val="decimal"/>
      <w:lvlText w:val="%1"/>
      <w:lvlJc w:val="left"/>
      <w:pPr>
        <w:ind w:left="360" w:hanging="360"/>
      </w:pPr>
      <w:rPr>
        <w:rFonts w:hint="default"/>
      </w:rPr>
    </w:lvl>
    <w:lvl w:ilvl="1">
      <w:start w:val="1"/>
      <w:numFmt w:val="decimal"/>
      <w:lvlText w:val="%1.%2"/>
      <w:lvlJc w:val="left"/>
      <w:pPr>
        <w:ind w:left="560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430255"/>
    <w:multiLevelType w:val="multilevel"/>
    <w:tmpl w:val="D762767C"/>
    <w:lvl w:ilvl="0">
      <w:start w:val="1"/>
      <w:numFmt w:val="decimal"/>
      <w:lvlText w:val="%1"/>
      <w:lvlJc w:val="left"/>
      <w:pPr>
        <w:tabs>
          <w:tab w:val="num" w:pos="720"/>
        </w:tabs>
        <w:ind w:left="720" w:hanging="720"/>
      </w:pPr>
      <w:rPr>
        <w:rFonts w:ascii="Arial Bold" w:hAnsi="Arial Bold" w:cs="Times New Roman" w:hint="default"/>
        <w:b/>
        <w:bCs w:val="0"/>
        <w:i w:val="0"/>
        <w:iCs w:val="0"/>
        <w:caps/>
        <w:smallCaps w:val="0"/>
        <w:strike w:val="0"/>
        <w:dstrike w:val="0"/>
        <w:noProof w:val="0"/>
        <w:vanish w:val="0"/>
        <w:spacing w:val="0"/>
        <w:kern w:val="0"/>
        <w:position w:val="0"/>
        <w:sz w:val="24"/>
        <w:u w:val="none"/>
        <w:vertAlign w:val="baseline"/>
        <w:em w:val="none"/>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sz w:val="24"/>
      </w:rPr>
    </w:lvl>
    <w:lvl w:ilvl="3">
      <w:start w:val="1"/>
      <w:numFmt w:val="decimal"/>
      <w:lvlText w:val="%1.%2.%3.%4."/>
      <w:lvlJc w:val="left"/>
      <w:pPr>
        <w:tabs>
          <w:tab w:val="num" w:pos="720"/>
        </w:tabs>
        <w:ind w:left="0" w:firstLine="0"/>
      </w:pPr>
      <w:rPr>
        <w:rFonts w:ascii="Arial" w:hAnsi="Arial" w:hint="default"/>
        <w:b w:val="0"/>
        <w:i w:val="0"/>
        <w:sz w:val="24"/>
      </w:rPr>
    </w:lvl>
    <w:lvl w:ilvl="4">
      <w:start w:val="1"/>
      <w:numFmt w:val="decimal"/>
      <w:lvlText w:val="%1.%2.%3.%4.%5."/>
      <w:lvlJc w:val="left"/>
      <w:pPr>
        <w:tabs>
          <w:tab w:val="num" w:pos="720"/>
        </w:tabs>
        <w:ind w:left="720" w:hanging="720"/>
      </w:pPr>
      <w:rPr>
        <w:rFonts w:ascii="Arial" w:hAnsi="Arial" w:hint="default"/>
        <w:b w:val="0"/>
        <w:i w:val="0"/>
        <w:sz w:val="24"/>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DDF3B24"/>
    <w:multiLevelType w:val="hybridMultilevel"/>
    <w:tmpl w:val="3FE8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F75155"/>
    <w:multiLevelType w:val="multilevel"/>
    <w:tmpl w:val="21786664"/>
    <w:lvl w:ilvl="0">
      <w:start w:val="5"/>
      <w:numFmt w:val="decimal"/>
      <w:lvlText w:val="%1"/>
      <w:lvlJc w:val="left"/>
      <w:pPr>
        <w:tabs>
          <w:tab w:val="num" w:pos="1304"/>
        </w:tabs>
        <w:ind w:left="1304"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5" w15:restartNumberingAfterBreak="0">
    <w:nsid w:val="279D7ED6"/>
    <w:multiLevelType w:val="multilevel"/>
    <w:tmpl w:val="61C8BE7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u w:val="none"/>
        <w:vertAlign w:val="baseline"/>
        <w:em w:val="none"/>
      </w:rPr>
    </w:lvl>
    <w:lvl w:ilvl="1">
      <w:start w:val="1"/>
      <w:numFmt w:val="decimal"/>
      <w:pStyle w:val="PolLevel2"/>
      <w:lvlText w:val="%1.%2."/>
      <w:lvlJc w:val="left"/>
      <w:pPr>
        <w:tabs>
          <w:tab w:val="num" w:pos="1162"/>
        </w:tabs>
        <w:ind w:left="1162" w:hanging="1162"/>
      </w:pPr>
      <w:rPr>
        <w:rFonts w:ascii="Arial" w:hAnsi="Arial" w:hint="default"/>
        <w:b w:val="0"/>
        <w:i w:val="0"/>
        <w:sz w:val="24"/>
      </w:rPr>
    </w:lvl>
    <w:lvl w:ilvl="2">
      <w:start w:val="1"/>
      <w:numFmt w:val="decimal"/>
      <w:pStyle w:val="PolLevel3"/>
      <w:lvlText w:val="%1.%2.%3."/>
      <w:lvlJc w:val="left"/>
      <w:pPr>
        <w:tabs>
          <w:tab w:val="num" w:pos="936"/>
        </w:tabs>
        <w:ind w:left="936" w:hanging="936"/>
      </w:pPr>
      <w:rPr>
        <w:rFonts w:ascii="Arial" w:hAnsi="Arial" w:hint="default"/>
        <w:b w:val="0"/>
        <w:i w:val="0"/>
        <w:sz w:val="24"/>
      </w:rPr>
    </w:lvl>
    <w:lvl w:ilvl="3">
      <w:start w:val="1"/>
      <w:numFmt w:val="decimal"/>
      <w:pStyle w:val="PolLevel4"/>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6" w15:restartNumberingAfterBreak="0">
    <w:nsid w:val="315427AB"/>
    <w:multiLevelType w:val="multilevel"/>
    <w:tmpl w:val="53EE31B8"/>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2">
      <w:start w:val="1"/>
      <w:numFmt w:val="decimal"/>
      <w:lvlText w:val="%1.%2.%3."/>
      <w:lvlJc w:val="left"/>
      <w:pPr>
        <w:tabs>
          <w:tab w:val="num" w:pos="936"/>
        </w:tabs>
        <w:ind w:left="936" w:hanging="936"/>
      </w:pPr>
      <w:rPr>
        <w:rFonts w:ascii="Arial" w:hAnsi="Arial" w:hint="default"/>
        <w:b w:val="0"/>
        <w:bCs/>
        <w:i w:val="0"/>
        <w:strike w:val="0"/>
        <w:dstrike w:val="0"/>
        <w:color w:val="auto"/>
        <w:sz w:val="24"/>
        <w:szCs w:val="28"/>
        <w:u w:val="none" w:color="000000"/>
        <w:bdr w:val="none" w:sz="0" w:space="0" w:color="auto"/>
        <w:shd w:val="clear" w:color="auto" w:fill="auto"/>
        <w:vertAlign w:val="baseline"/>
      </w:rPr>
    </w:lvl>
    <w:lvl w:ilvl="3">
      <w:start w:val="1"/>
      <w:numFmt w:val="decimal"/>
      <w:lvlText w:val="%1.%2.%3.%4."/>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4">
      <w:start w:val="1"/>
      <w:numFmt w:val="decimal"/>
      <w:lvlText w:val="%1.%2.%3.%4.%5."/>
      <w:lvlJc w:val="left"/>
      <w:pPr>
        <w:tabs>
          <w:tab w:val="num" w:pos="936"/>
        </w:tabs>
        <w:ind w:left="936" w:hanging="936"/>
      </w:pPr>
      <w:rPr>
        <w:rFonts w:ascii="Arial" w:hAnsi="Arial" w:hint="default"/>
        <w:b w:val="0"/>
        <w:bCs/>
        <w:i w:val="0"/>
        <w:strike w:val="0"/>
        <w:dstrike w:val="0"/>
        <w:color w:val="000000"/>
        <w:sz w:val="24"/>
        <w:szCs w:val="28"/>
        <w:u w:val="none" w:color="000000"/>
        <w:bdr w:val="none" w:sz="0" w:space="0" w:color="auto"/>
        <w:shd w:val="clear" w:color="auto" w:fill="auto"/>
        <w:vertAlign w:val="baseline"/>
      </w:rPr>
    </w:lvl>
    <w:lvl w:ilvl="5">
      <w:start w:val="1"/>
      <w:numFmt w:val="decimal"/>
      <w:lvlText w:val="%1.%2.%3.%4.%5.%6."/>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1.%2.%3.%4.%5.%6.%7."/>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7">
      <w:start w:val="1"/>
      <w:numFmt w:val="decimal"/>
      <w:lvlText w:val="%1.%2.%3.%4.%5.%6.%7.%8."/>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lvl w:ilvl="8">
      <w:start w:val="1"/>
      <w:numFmt w:val="decimal"/>
      <w:lvlText w:val="%1.%2.%3.%4.%5.%6.%7.%8.%9."/>
      <w:lvlJc w:val="left"/>
      <w:pPr>
        <w:tabs>
          <w:tab w:val="num" w:pos="936"/>
        </w:tabs>
        <w:ind w:left="936" w:hanging="936"/>
      </w:pPr>
      <w:rPr>
        <w:rFonts w:hint="default"/>
        <w:b/>
        <w:bCs/>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346C51A2"/>
    <w:multiLevelType w:val="multilevel"/>
    <w:tmpl w:val="FEE2E582"/>
    <w:lvl w:ilvl="0">
      <w:start w:val="4"/>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5"/>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8" w15:restartNumberingAfterBreak="0">
    <w:nsid w:val="43277B6D"/>
    <w:multiLevelType w:val="multilevel"/>
    <w:tmpl w:val="7A406020"/>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BB7559"/>
    <w:multiLevelType w:val="hybridMultilevel"/>
    <w:tmpl w:val="6E4E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08132E"/>
    <w:multiLevelType w:val="multilevel"/>
    <w:tmpl w:val="FEE2E582"/>
    <w:lvl w:ilvl="0">
      <w:start w:val="4"/>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5"/>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1" w15:restartNumberingAfterBreak="0">
    <w:nsid w:val="48A524BC"/>
    <w:multiLevelType w:val="hybridMultilevel"/>
    <w:tmpl w:val="376201DE"/>
    <w:lvl w:ilvl="0" w:tplc="08090001">
      <w:start w:val="1"/>
      <w:numFmt w:val="bullet"/>
      <w:lvlText w:val=""/>
      <w:lvlJc w:val="left"/>
      <w:pPr>
        <w:ind w:left="149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214" w:hanging="360"/>
      </w:pPr>
      <w:rPr>
        <w:rFonts w:ascii="Courier New" w:hAnsi="Courier New" w:cs="Courier New" w:hint="default"/>
      </w:rPr>
    </w:lvl>
    <w:lvl w:ilvl="2" w:tplc="08090001">
      <w:start w:val="1"/>
      <w:numFmt w:val="bullet"/>
      <w:lvlText w:val=""/>
      <w:lvlJc w:val="left"/>
      <w:pPr>
        <w:ind w:left="149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4CF22F40"/>
    <w:multiLevelType w:val="multilevel"/>
    <w:tmpl w:val="3E3E32B6"/>
    <w:lvl w:ilvl="0">
      <w:start w:val="1"/>
      <w:numFmt w:val="decimal"/>
      <w:lvlText w:val="%1"/>
      <w:lvlJc w:val="left"/>
      <w:pPr>
        <w:tabs>
          <w:tab w:val="num" w:pos="1304"/>
        </w:tabs>
        <w:ind w:left="1304" w:hanging="1162"/>
      </w:pPr>
      <w:rPr>
        <w:rFonts w:ascii="Arial Bold" w:hAnsi="Arial Bold" w:cs="Broadway" w:hint="default"/>
        <w:b/>
        <w:bCs w:val="0"/>
        <w:i w:val="0"/>
        <w:iCs w:val="0"/>
        <w:caps/>
        <w:smallCaps w:val="0"/>
        <w:strike w:val="0"/>
        <w:dstrike w:val="0"/>
        <w:vanish w:val="0"/>
        <w:spacing w:val="0"/>
        <w:kern w:val="24"/>
        <w:position w:val="0"/>
        <w:sz w:val="28"/>
        <w:szCs w:val="28"/>
        <w:u w:val="none"/>
        <w:vertAlign w:val="baseline"/>
        <w:em w:val="none"/>
      </w:rPr>
    </w:lvl>
    <w:lvl w:ilvl="1">
      <w:start w:val="1"/>
      <w:numFmt w:val="decimal"/>
      <w:lvlText w:val="%1.%2."/>
      <w:lvlJc w:val="left"/>
      <w:pPr>
        <w:tabs>
          <w:tab w:val="num" w:pos="1162"/>
        </w:tabs>
        <w:ind w:left="1162" w:hanging="1162"/>
      </w:pPr>
      <w:rPr>
        <w:rFonts w:ascii="Arial" w:hAnsi="Arial" w:hint="default"/>
        <w:b w:val="0"/>
        <w:i w:val="0"/>
        <w:sz w:val="24"/>
      </w:rPr>
    </w:lvl>
    <w:lvl w:ilvl="2">
      <w:start w:val="1"/>
      <w:numFmt w:val="decimal"/>
      <w:lvlText w:val="%1.%2.%3."/>
      <w:lvlJc w:val="left"/>
      <w:pPr>
        <w:tabs>
          <w:tab w:val="num" w:pos="1162"/>
        </w:tabs>
        <w:ind w:left="1162" w:hanging="1162"/>
      </w:pPr>
      <w:rPr>
        <w:rFonts w:ascii="Arial" w:hAnsi="Arial" w:hint="default"/>
        <w:b w:val="0"/>
        <w:i w:val="0"/>
        <w:sz w:val="24"/>
      </w:rPr>
    </w:lvl>
    <w:lvl w:ilvl="3">
      <w:start w:val="1"/>
      <w:numFmt w:val="decimal"/>
      <w:lvlText w:val="%1.%2.%3.%4."/>
      <w:lvlJc w:val="left"/>
      <w:pPr>
        <w:tabs>
          <w:tab w:val="num" w:pos="1162"/>
        </w:tabs>
        <w:ind w:left="1162" w:hanging="1162"/>
      </w:pPr>
      <w:rPr>
        <w:rFonts w:ascii="Arial" w:hAnsi="Arial" w:hint="default"/>
        <w:b w:val="0"/>
        <w:i w:val="0"/>
        <w:sz w:val="24"/>
      </w:rPr>
    </w:lvl>
    <w:lvl w:ilvl="4">
      <w:start w:val="1"/>
      <w:numFmt w:val="decimal"/>
      <w:lvlText w:val="%1.%2.%3.%4.%5."/>
      <w:lvlJc w:val="left"/>
      <w:pPr>
        <w:tabs>
          <w:tab w:val="num" w:pos="1162"/>
        </w:tabs>
        <w:ind w:left="1162" w:hanging="1162"/>
      </w:pPr>
      <w:rPr>
        <w:rFonts w:ascii="Arial" w:hAnsi="Arial" w:hint="default"/>
        <w:b w:val="0"/>
        <w:i w:val="0"/>
        <w:sz w:val="24"/>
        <w:szCs w:val="24"/>
      </w:rPr>
    </w:lvl>
    <w:lvl w:ilvl="5">
      <w:start w:val="1"/>
      <w:numFmt w:val="decimal"/>
      <w:lvlText w:val="%1.%2.%3.%4.%5.%6."/>
      <w:lvlJc w:val="left"/>
      <w:pPr>
        <w:tabs>
          <w:tab w:val="num" w:pos="1162"/>
        </w:tabs>
        <w:ind w:left="1162" w:hanging="1162"/>
      </w:pPr>
      <w:rPr>
        <w:rFonts w:hint="default"/>
      </w:rPr>
    </w:lvl>
    <w:lvl w:ilvl="6">
      <w:start w:val="1"/>
      <w:numFmt w:val="decimal"/>
      <w:lvlText w:val="%1.%2.%3.%4.%5.%6.%7."/>
      <w:lvlJc w:val="left"/>
      <w:pPr>
        <w:tabs>
          <w:tab w:val="num" w:pos="1162"/>
        </w:tabs>
        <w:ind w:left="1162" w:hanging="1162"/>
      </w:pPr>
      <w:rPr>
        <w:rFonts w:hint="default"/>
      </w:rPr>
    </w:lvl>
    <w:lvl w:ilvl="7">
      <w:start w:val="1"/>
      <w:numFmt w:val="decimal"/>
      <w:lvlText w:val="%1.%2.%3.%4.%5.%6.%7.%8."/>
      <w:lvlJc w:val="left"/>
      <w:pPr>
        <w:tabs>
          <w:tab w:val="num" w:pos="1162"/>
        </w:tabs>
        <w:ind w:left="1162" w:hanging="1162"/>
      </w:pPr>
      <w:rPr>
        <w:rFonts w:hint="default"/>
      </w:rPr>
    </w:lvl>
    <w:lvl w:ilvl="8">
      <w:start w:val="1"/>
      <w:numFmt w:val="decimal"/>
      <w:lvlText w:val="%1.%2.%3.%4.%5.%6.%7.%8.%9."/>
      <w:lvlJc w:val="left"/>
      <w:pPr>
        <w:tabs>
          <w:tab w:val="num" w:pos="1162"/>
        </w:tabs>
        <w:ind w:left="1162" w:hanging="1162"/>
      </w:pPr>
      <w:rPr>
        <w:rFonts w:hint="default"/>
      </w:rPr>
    </w:lvl>
  </w:abstractNum>
  <w:abstractNum w:abstractNumId="13" w15:restartNumberingAfterBreak="0">
    <w:nsid w:val="5B6F7AEA"/>
    <w:multiLevelType w:val="multilevel"/>
    <w:tmpl w:val="8EEA2B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BE447C"/>
    <w:multiLevelType w:val="multilevel"/>
    <w:tmpl w:val="E5E057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20A3FCE"/>
    <w:multiLevelType w:val="multilevel"/>
    <w:tmpl w:val="75BAE4B0"/>
    <w:lvl w:ilvl="0">
      <w:start w:val="1"/>
      <w:numFmt w:val="decimal"/>
      <w:lvlText w:val="%1."/>
      <w:lvlJc w:val="left"/>
      <w:pPr>
        <w:tabs>
          <w:tab w:val="num" w:pos="936"/>
        </w:tabs>
        <w:ind w:left="936" w:hanging="936"/>
      </w:pPr>
      <w:rPr>
        <w:rFonts w:ascii="Arial Bold" w:hAnsi="Arial Bold" w:hint="default"/>
        <w:b/>
        <w:bCs w:val="0"/>
        <w:i w:val="0"/>
        <w:iCs w:val="0"/>
        <w:caps w:val="0"/>
        <w:smallCaps w:val="0"/>
        <w:strike w:val="0"/>
        <w:dstrike w:val="0"/>
        <w:vanish w:val="0"/>
        <w:spacing w:val="0"/>
        <w:kern w:val="0"/>
        <w:position w:val="0"/>
        <w:sz w:val="28"/>
        <w:szCs w:val="24"/>
        <w:u w:val="none"/>
        <w:vertAlign w:val="baseline"/>
        <w:em w:val="none"/>
      </w:rPr>
    </w:lvl>
    <w:lvl w:ilvl="1">
      <w:start w:val="1"/>
      <w:numFmt w:val="decimal"/>
      <w:lvlText w:val="%1.%2."/>
      <w:lvlJc w:val="left"/>
      <w:pPr>
        <w:tabs>
          <w:tab w:val="num" w:pos="1162"/>
        </w:tabs>
        <w:ind w:left="1162" w:hanging="1162"/>
      </w:pPr>
      <w:rPr>
        <w:rFonts w:ascii="Arial" w:hAnsi="Arial" w:hint="default"/>
        <w:b w:val="0"/>
        <w:i w:val="0"/>
        <w:color w:val="auto"/>
        <w:sz w:val="24"/>
      </w:rPr>
    </w:lvl>
    <w:lvl w:ilvl="2">
      <w:start w:val="1"/>
      <w:numFmt w:val="decimal"/>
      <w:lvlText w:val="%1.%2.%3."/>
      <w:lvlJc w:val="left"/>
      <w:pPr>
        <w:tabs>
          <w:tab w:val="num" w:pos="936"/>
        </w:tabs>
        <w:ind w:left="936" w:hanging="936"/>
      </w:pPr>
      <w:rPr>
        <w:rFonts w:ascii="Arial" w:hAnsi="Arial" w:hint="default"/>
        <w:b w:val="0"/>
        <w:i w:val="0"/>
        <w:color w:val="auto"/>
        <w:sz w:val="24"/>
      </w:rPr>
    </w:lvl>
    <w:lvl w:ilvl="3">
      <w:start w:val="1"/>
      <w:numFmt w:val="decimal"/>
      <w:lvlText w:val="%1.%2.%3.%4."/>
      <w:lvlJc w:val="left"/>
      <w:pPr>
        <w:tabs>
          <w:tab w:val="num" w:pos="936"/>
        </w:tabs>
        <w:ind w:left="936" w:hanging="936"/>
      </w:pPr>
      <w:rPr>
        <w:rFonts w:ascii="Arial" w:hAnsi="Arial" w:hint="default"/>
        <w:b w:val="0"/>
        <w:i w:val="0"/>
        <w:sz w:val="24"/>
      </w:rPr>
    </w:lvl>
    <w:lvl w:ilvl="4">
      <w:start w:val="1"/>
      <w:numFmt w:val="decimal"/>
      <w:lvlText w:val="%1.%2.%3.%4.%5."/>
      <w:lvlJc w:val="left"/>
      <w:pPr>
        <w:tabs>
          <w:tab w:val="num" w:pos="936"/>
        </w:tabs>
        <w:ind w:left="936" w:hanging="936"/>
      </w:pPr>
      <w:rPr>
        <w:rFonts w:ascii="Arial" w:hAnsi="Arial" w:hint="default"/>
        <w:b w:val="0"/>
        <w:i w:val="0"/>
        <w:sz w:val="24"/>
      </w:rPr>
    </w:lvl>
    <w:lvl w:ilvl="5">
      <w:start w:val="1"/>
      <w:numFmt w:val="decimal"/>
      <w:lvlText w:val="%1.%2.%3.%4.%5.%6."/>
      <w:lvlJc w:val="left"/>
      <w:pPr>
        <w:tabs>
          <w:tab w:val="num" w:pos="936"/>
        </w:tabs>
        <w:ind w:left="936" w:hanging="936"/>
      </w:pPr>
      <w:rPr>
        <w:rFonts w:hint="default"/>
      </w:rPr>
    </w:lvl>
    <w:lvl w:ilvl="6">
      <w:start w:val="1"/>
      <w:numFmt w:val="decimal"/>
      <w:lvlText w:val="%1.%2.%3.%4.%5.%6.%7."/>
      <w:lvlJc w:val="left"/>
      <w:pPr>
        <w:tabs>
          <w:tab w:val="num" w:pos="936"/>
        </w:tabs>
        <w:ind w:left="936" w:hanging="936"/>
      </w:pPr>
      <w:rPr>
        <w:rFonts w:hint="default"/>
      </w:rPr>
    </w:lvl>
    <w:lvl w:ilvl="7">
      <w:start w:val="1"/>
      <w:numFmt w:val="decimal"/>
      <w:lvlText w:val="%1.%2.%3.%4.%5.%6.%7.%8."/>
      <w:lvlJc w:val="left"/>
      <w:pPr>
        <w:tabs>
          <w:tab w:val="num" w:pos="936"/>
        </w:tabs>
        <w:ind w:left="936" w:hanging="936"/>
      </w:pPr>
      <w:rPr>
        <w:rFonts w:hint="default"/>
      </w:rPr>
    </w:lvl>
    <w:lvl w:ilvl="8">
      <w:start w:val="1"/>
      <w:numFmt w:val="decimal"/>
      <w:lvlText w:val="%1.%2.%3.%4.%5.%6.%7.%8.%9."/>
      <w:lvlJc w:val="left"/>
      <w:pPr>
        <w:tabs>
          <w:tab w:val="num" w:pos="936"/>
        </w:tabs>
        <w:ind w:left="936" w:hanging="936"/>
      </w:pPr>
      <w:rPr>
        <w:rFonts w:hint="default"/>
      </w:rPr>
    </w:lvl>
  </w:abstractNum>
  <w:abstractNum w:abstractNumId="16" w15:restartNumberingAfterBreak="0">
    <w:nsid w:val="72CE0D6A"/>
    <w:multiLevelType w:val="hybridMultilevel"/>
    <w:tmpl w:val="96B629E0"/>
    <w:lvl w:ilvl="0" w:tplc="14EC0FE4">
      <w:start w:val="1"/>
      <w:numFmt w:val="decimal"/>
      <w:lvlText w:val="%1"/>
      <w:lvlJc w:val="left"/>
      <w:pPr>
        <w:ind w:left="720" w:hanging="3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20501B"/>
    <w:multiLevelType w:val="hybridMultilevel"/>
    <w:tmpl w:val="EE7CCB62"/>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1494"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9489937">
    <w:abstractNumId w:val="0"/>
  </w:num>
  <w:num w:numId="2" w16cid:durableId="1244528941">
    <w:abstractNumId w:val="5"/>
  </w:num>
  <w:num w:numId="3" w16cid:durableId="611593006">
    <w:abstractNumId w:val="12"/>
  </w:num>
  <w:num w:numId="4" w16cid:durableId="1341002331">
    <w:abstractNumId w:val="15"/>
  </w:num>
  <w:num w:numId="5" w16cid:durableId="1877232140">
    <w:abstractNumId w:val="17"/>
  </w:num>
  <w:num w:numId="6" w16cid:durableId="1685471598">
    <w:abstractNumId w:val="11"/>
  </w:num>
  <w:num w:numId="7" w16cid:durableId="367801868">
    <w:abstractNumId w:val="7"/>
  </w:num>
  <w:num w:numId="8" w16cid:durableId="883559149">
    <w:abstractNumId w:val="10"/>
  </w:num>
  <w:num w:numId="9" w16cid:durableId="2144301405">
    <w:abstractNumId w:val="9"/>
  </w:num>
  <w:num w:numId="10" w16cid:durableId="1545406204">
    <w:abstractNumId w:val="6"/>
  </w:num>
  <w:num w:numId="11" w16cid:durableId="1118329068">
    <w:abstractNumId w:val="2"/>
  </w:num>
  <w:num w:numId="12" w16cid:durableId="671763363">
    <w:abstractNumId w:val="14"/>
  </w:num>
  <w:num w:numId="13" w16cid:durableId="1043558765">
    <w:abstractNumId w:val="4"/>
  </w:num>
  <w:num w:numId="14" w16cid:durableId="1312057474">
    <w:abstractNumId w:val="13"/>
  </w:num>
  <w:num w:numId="15" w16cid:durableId="1614751235">
    <w:abstractNumId w:val="1"/>
  </w:num>
  <w:num w:numId="16" w16cid:durableId="1689017344">
    <w:abstractNumId w:val="8"/>
  </w:num>
  <w:num w:numId="17" w16cid:durableId="1344819494">
    <w:abstractNumId w:val="5"/>
  </w:num>
  <w:num w:numId="18" w16cid:durableId="388067956">
    <w:abstractNumId w:val="3"/>
  </w:num>
  <w:num w:numId="19" w16cid:durableId="170204735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162"/>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E1"/>
    <w:rsid w:val="00002F8D"/>
    <w:rsid w:val="00003A66"/>
    <w:rsid w:val="00011AFF"/>
    <w:rsid w:val="00015AFA"/>
    <w:rsid w:val="00027FF1"/>
    <w:rsid w:val="00032050"/>
    <w:rsid w:val="000336CB"/>
    <w:rsid w:val="0003620F"/>
    <w:rsid w:val="000379B1"/>
    <w:rsid w:val="00041DBD"/>
    <w:rsid w:val="00042440"/>
    <w:rsid w:val="00043C89"/>
    <w:rsid w:val="00044DA1"/>
    <w:rsid w:val="00045793"/>
    <w:rsid w:val="00046C6B"/>
    <w:rsid w:val="000475E3"/>
    <w:rsid w:val="000517B4"/>
    <w:rsid w:val="00052F4C"/>
    <w:rsid w:val="00055814"/>
    <w:rsid w:val="0005607D"/>
    <w:rsid w:val="000628BB"/>
    <w:rsid w:val="000651F4"/>
    <w:rsid w:val="000663BC"/>
    <w:rsid w:val="00066C99"/>
    <w:rsid w:val="0006702D"/>
    <w:rsid w:val="00067D0F"/>
    <w:rsid w:val="00067FCF"/>
    <w:rsid w:val="00071AF3"/>
    <w:rsid w:val="00074483"/>
    <w:rsid w:val="00076FCE"/>
    <w:rsid w:val="00077D70"/>
    <w:rsid w:val="00081A96"/>
    <w:rsid w:val="00081DF6"/>
    <w:rsid w:val="00082073"/>
    <w:rsid w:val="00083834"/>
    <w:rsid w:val="000840DF"/>
    <w:rsid w:val="000854EA"/>
    <w:rsid w:val="00086FFD"/>
    <w:rsid w:val="000924E5"/>
    <w:rsid w:val="00093E7B"/>
    <w:rsid w:val="00095E42"/>
    <w:rsid w:val="00097204"/>
    <w:rsid w:val="00097547"/>
    <w:rsid w:val="000A002F"/>
    <w:rsid w:val="000A2BAC"/>
    <w:rsid w:val="000A4795"/>
    <w:rsid w:val="000A5766"/>
    <w:rsid w:val="000A7835"/>
    <w:rsid w:val="000B549A"/>
    <w:rsid w:val="000C3DE2"/>
    <w:rsid w:val="000C41B5"/>
    <w:rsid w:val="000C5886"/>
    <w:rsid w:val="000C6606"/>
    <w:rsid w:val="000D1750"/>
    <w:rsid w:val="000D4CF9"/>
    <w:rsid w:val="000D573D"/>
    <w:rsid w:val="000E08BE"/>
    <w:rsid w:val="000E1984"/>
    <w:rsid w:val="000E20F4"/>
    <w:rsid w:val="000E2650"/>
    <w:rsid w:val="000E332D"/>
    <w:rsid w:val="000E4343"/>
    <w:rsid w:val="000E6E10"/>
    <w:rsid w:val="000F0CD9"/>
    <w:rsid w:val="000F141B"/>
    <w:rsid w:val="000F1B26"/>
    <w:rsid w:val="000F208B"/>
    <w:rsid w:val="000F4049"/>
    <w:rsid w:val="000F486A"/>
    <w:rsid w:val="00101A71"/>
    <w:rsid w:val="001022CF"/>
    <w:rsid w:val="00103386"/>
    <w:rsid w:val="001035C3"/>
    <w:rsid w:val="0010507A"/>
    <w:rsid w:val="00107C1B"/>
    <w:rsid w:val="00113DE7"/>
    <w:rsid w:val="0011441F"/>
    <w:rsid w:val="00114E09"/>
    <w:rsid w:val="00116055"/>
    <w:rsid w:val="00116567"/>
    <w:rsid w:val="0011675B"/>
    <w:rsid w:val="00120E8F"/>
    <w:rsid w:val="00133949"/>
    <w:rsid w:val="00135C64"/>
    <w:rsid w:val="00141A5C"/>
    <w:rsid w:val="00141F67"/>
    <w:rsid w:val="00142AF7"/>
    <w:rsid w:val="001460C3"/>
    <w:rsid w:val="00147135"/>
    <w:rsid w:val="00147B72"/>
    <w:rsid w:val="00151079"/>
    <w:rsid w:val="0015148F"/>
    <w:rsid w:val="0015285F"/>
    <w:rsid w:val="001536BC"/>
    <w:rsid w:val="00154167"/>
    <w:rsid w:val="0015760E"/>
    <w:rsid w:val="00170297"/>
    <w:rsid w:val="00171B0F"/>
    <w:rsid w:val="00172463"/>
    <w:rsid w:val="0017296A"/>
    <w:rsid w:val="001737AC"/>
    <w:rsid w:val="00175C6E"/>
    <w:rsid w:val="001771DF"/>
    <w:rsid w:val="001772E3"/>
    <w:rsid w:val="0018240D"/>
    <w:rsid w:val="00193AE7"/>
    <w:rsid w:val="00195503"/>
    <w:rsid w:val="001A346F"/>
    <w:rsid w:val="001A441D"/>
    <w:rsid w:val="001A4F87"/>
    <w:rsid w:val="001A51C9"/>
    <w:rsid w:val="001B16A7"/>
    <w:rsid w:val="001B1C6B"/>
    <w:rsid w:val="001B2099"/>
    <w:rsid w:val="001B3276"/>
    <w:rsid w:val="001B6EE6"/>
    <w:rsid w:val="001C0783"/>
    <w:rsid w:val="001C134C"/>
    <w:rsid w:val="001C2689"/>
    <w:rsid w:val="001C46E9"/>
    <w:rsid w:val="001C531C"/>
    <w:rsid w:val="001C7C40"/>
    <w:rsid w:val="001D1AC1"/>
    <w:rsid w:val="001D4CB6"/>
    <w:rsid w:val="001D6C60"/>
    <w:rsid w:val="001E0955"/>
    <w:rsid w:val="001F0CA9"/>
    <w:rsid w:val="001F1AD3"/>
    <w:rsid w:val="00202C4D"/>
    <w:rsid w:val="002041E6"/>
    <w:rsid w:val="00206A2E"/>
    <w:rsid w:val="00210EF1"/>
    <w:rsid w:val="00222CB1"/>
    <w:rsid w:val="002246D3"/>
    <w:rsid w:val="0022562E"/>
    <w:rsid w:val="00227580"/>
    <w:rsid w:val="00232F45"/>
    <w:rsid w:val="00232FBB"/>
    <w:rsid w:val="002367FB"/>
    <w:rsid w:val="00236CFF"/>
    <w:rsid w:val="00237759"/>
    <w:rsid w:val="00240F2A"/>
    <w:rsid w:val="00242543"/>
    <w:rsid w:val="0024292D"/>
    <w:rsid w:val="002462DC"/>
    <w:rsid w:val="00246C61"/>
    <w:rsid w:val="002503DD"/>
    <w:rsid w:val="00255048"/>
    <w:rsid w:val="00255D98"/>
    <w:rsid w:val="002562C4"/>
    <w:rsid w:val="002630B8"/>
    <w:rsid w:val="00263498"/>
    <w:rsid w:val="0026573B"/>
    <w:rsid w:val="00267FED"/>
    <w:rsid w:val="0027303C"/>
    <w:rsid w:val="002732B2"/>
    <w:rsid w:val="00273FDF"/>
    <w:rsid w:val="00275037"/>
    <w:rsid w:val="00276EA3"/>
    <w:rsid w:val="00277577"/>
    <w:rsid w:val="002778E1"/>
    <w:rsid w:val="002804AC"/>
    <w:rsid w:val="0028099B"/>
    <w:rsid w:val="002820EC"/>
    <w:rsid w:val="0028455A"/>
    <w:rsid w:val="00284821"/>
    <w:rsid w:val="00285A07"/>
    <w:rsid w:val="00285CCD"/>
    <w:rsid w:val="00292ACB"/>
    <w:rsid w:val="002931DD"/>
    <w:rsid w:val="00293DE5"/>
    <w:rsid w:val="00296CFD"/>
    <w:rsid w:val="002A3122"/>
    <w:rsid w:val="002A4E36"/>
    <w:rsid w:val="002B100B"/>
    <w:rsid w:val="002B6BE4"/>
    <w:rsid w:val="002B6C4F"/>
    <w:rsid w:val="002B7D55"/>
    <w:rsid w:val="002B7F82"/>
    <w:rsid w:val="002C3396"/>
    <w:rsid w:val="002C3717"/>
    <w:rsid w:val="002C4550"/>
    <w:rsid w:val="002C4782"/>
    <w:rsid w:val="002C49B0"/>
    <w:rsid w:val="002C5ED7"/>
    <w:rsid w:val="002C5F7F"/>
    <w:rsid w:val="002C6296"/>
    <w:rsid w:val="002D3B6B"/>
    <w:rsid w:val="002D66EF"/>
    <w:rsid w:val="002E06DD"/>
    <w:rsid w:val="002E2489"/>
    <w:rsid w:val="002E2C05"/>
    <w:rsid w:val="002E5E49"/>
    <w:rsid w:val="002E6E0A"/>
    <w:rsid w:val="002E7E7D"/>
    <w:rsid w:val="002F0583"/>
    <w:rsid w:val="002F25E2"/>
    <w:rsid w:val="002F6B4D"/>
    <w:rsid w:val="0030111A"/>
    <w:rsid w:val="0030395F"/>
    <w:rsid w:val="003171FF"/>
    <w:rsid w:val="00317419"/>
    <w:rsid w:val="003202A9"/>
    <w:rsid w:val="003205DE"/>
    <w:rsid w:val="00322AEF"/>
    <w:rsid w:val="00322F1E"/>
    <w:rsid w:val="003252A4"/>
    <w:rsid w:val="00326B1E"/>
    <w:rsid w:val="003336C2"/>
    <w:rsid w:val="00333EDF"/>
    <w:rsid w:val="00334132"/>
    <w:rsid w:val="0033470D"/>
    <w:rsid w:val="00335732"/>
    <w:rsid w:val="00335A26"/>
    <w:rsid w:val="003362BF"/>
    <w:rsid w:val="003415BF"/>
    <w:rsid w:val="003423E6"/>
    <w:rsid w:val="00342B74"/>
    <w:rsid w:val="003439EB"/>
    <w:rsid w:val="003446F0"/>
    <w:rsid w:val="00346646"/>
    <w:rsid w:val="00347794"/>
    <w:rsid w:val="00350D53"/>
    <w:rsid w:val="00353B1E"/>
    <w:rsid w:val="00353E20"/>
    <w:rsid w:val="003542C3"/>
    <w:rsid w:val="003556C6"/>
    <w:rsid w:val="00357316"/>
    <w:rsid w:val="003578B4"/>
    <w:rsid w:val="0036626F"/>
    <w:rsid w:val="00367885"/>
    <w:rsid w:val="00370782"/>
    <w:rsid w:val="00370949"/>
    <w:rsid w:val="003747B9"/>
    <w:rsid w:val="00380743"/>
    <w:rsid w:val="003813A9"/>
    <w:rsid w:val="0038353C"/>
    <w:rsid w:val="00384BAA"/>
    <w:rsid w:val="003853BF"/>
    <w:rsid w:val="00386FA4"/>
    <w:rsid w:val="003874B1"/>
    <w:rsid w:val="003879C7"/>
    <w:rsid w:val="003904B4"/>
    <w:rsid w:val="00391D76"/>
    <w:rsid w:val="00392D70"/>
    <w:rsid w:val="0039386D"/>
    <w:rsid w:val="00395068"/>
    <w:rsid w:val="00395808"/>
    <w:rsid w:val="00397EE5"/>
    <w:rsid w:val="003A0304"/>
    <w:rsid w:val="003A1EE5"/>
    <w:rsid w:val="003B1975"/>
    <w:rsid w:val="003B25BD"/>
    <w:rsid w:val="003B4453"/>
    <w:rsid w:val="003B532A"/>
    <w:rsid w:val="003B772D"/>
    <w:rsid w:val="003C14BB"/>
    <w:rsid w:val="003C4410"/>
    <w:rsid w:val="003C49AF"/>
    <w:rsid w:val="003C591D"/>
    <w:rsid w:val="003C64AD"/>
    <w:rsid w:val="003D1B53"/>
    <w:rsid w:val="003D1F9B"/>
    <w:rsid w:val="003D2E34"/>
    <w:rsid w:val="003D3B16"/>
    <w:rsid w:val="003D7DD6"/>
    <w:rsid w:val="003E0175"/>
    <w:rsid w:val="003E1F02"/>
    <w:rsid w:val="003E2B88"/>
    <w:rsid w:val="003F12EE"/>
    <w:rsid w:val="003F2228"/>
    <w:rsid w:val="003F2A8A"/>
    <w:rsid w:val="003F2EC3"/>
    <w:rsid w:val="003F3D8A"/>
    <w:rsid w:val="003F5266"/>
    <w:rsid w:val="003F65FB"/>
    <w:rsid w:val="0040161A"/>
    <w:rsid w:val="00402EFA"/>
    <w:rsid w:val="00402F63"/>
    <w:rsid w:val="0040381C"/>
    <w:rsid w:val="0040441E"/>
    <w:rsid w:val="00404C0E"/>
    <w:rsid w:val="00404F2F"/>
    <w:rsid w:val="00414F76"/>
    <w:rsid w:val="00420C13"/>
    <w:rsid w:val="004214F1"/>
    <w:rsid w:val="004244CC"/>
    <w:rsid w:val="00424B9A"/>
    <w:rsid w:val="0042513B"/>
    <w:rsid w:val="0042523E"/>
    <w:rsid w:val="00425B0A"/>
    <w:rsid w:val="00426BCD"/>
    <w:rsid w:val="0043154E"/>
    <w:rsid w:val="004323EA"/>
    <w:rsid w:val="00434B3E"/>
    <w:rsid w:val="0043622D"/>
    <w:rsid w:val="004365BE"/>
    <w:rsid w:val="00436C21"/>
    <w:rsid w:val="0044197C"/>
    <w:rsid w:val="00443FF0"/>
    <w:rsid w:val="00446C23"/>
    <w:rsid w:val="00451145"/>
    <w:rsid w:val="00453391"/>
    <w:rsid w:val="004609ED"/>
    <w:rsid w:val="004633E7"/>
    <w:rsid w:val="00463CFC"/>
    <w:rsid w:val="00465961"/>
    <w:rsid w:val="00467F74"/>
    <w:rsid w:val="00470B0F"/>
    <w:rsid w:val="00481657"/>
    <w:rsid w:val="00485ECC"/>
    <w:rsid w:val="0048785B"/>
    <w:rsid w:val="004879AB"/>
    <w:rsid w:val="00491FFF"/>
    <w:rsid w:val="00492147"/>
    <w:rsid w:val="004934AB"/>
    <w:rsid w:val="00493AD7"/>
    <w:rsid w:val="00495AB3"/>
    <w:rsid w:val="0049632B"/>
    <w:rsid w:val="00496969"/>
    <w:rsid w:val="004973CD"/>
    <w:rsid w:val="004A0D1C"/>
    <w:rsid w:val="004A352E"/>
    <w:rsid w:val="004A4AA9"/>
    <w:rsid w:val="004A6B45"/>
    <w:rsid w:val="004B163E"/>
    <w:rsid w:val="004B41B9"/>
    <w:rsid w:val="004B5F1D"/>
    <w:rsid w:val="004B7C18"/>
    <w:rsid w:val="004C421A"/>
    <w:rsid w:val="004C57D4"/>
    <w:rsid w:val="004D074A"/>
    <w:rsid w:val="004D282E"/>
    <w:rsid w:val="004D3C6F"/>
    <w:rsid w:val="004D4D08"/>
    <w:rsid w:val="004E3ADF"/>
    <w:rsid w:val="004E654A"/>
    <w:rsid w:val="004F069A"/>
    <w:rsid w:val="004F19A6"/>
    <w:rsid w:val="004F2768"/>
    <w:rsid w:val="004F3B31"/>
    <w:rsid w:val="004F5EE9"/>
    <w:rsid w:val="004F60CA"/>
    <w:rsid w:val="0050298C"/>
    <w:rsid w:val="00502DE8"/>
    <w:rsid w:val="0050442B"/>
    <w:rsid w:val="0050446B"/>
    <w:rsid w:val="00506DB1"/>
    <w:rsid w:val="00510E12"/>
    <w:rsid w:val="00510F42"/>
    <w:rsid w:val="005113FC"/>
    <w:rsid w:val="00511ED9"/>
    <w:rsid w:val="00511F2C"/>
    <w:rsid w:val="005133F5"/>
    <w:rsid w:val="005151FF"/>
    <w:rsid w:val="00516485"/>
    <w:rsid w:val="00516B75"/>
    <w:rsid w:val="00517AB7"/>
    <w:rsid w:val="0052136B"/>
    <w:rsid w:val="00521E6C"/>
    <w:rsid w:val="00522686"/>
    <w:rsid w:val="00523885"/>
    <w:rsid w:val="005252F6"/>
    <w:rsid w:val="0052569E"/>
    <w:rsid w:val="005349BD"/>
    <w:rsid w:val="00535913"/>
    <w:rsid w:val="0053607B"/>
    <w:rsid w:val="00540A67"/>
    <w:rsid w:val="00541770"/>
    <w:rsid w:val="00541E40"/>
    <w:rsid w:val="00542956"/>
    <w:rsid w:val="00542C6F"/>
    <w:rsid w:val="005436B0"/>
    <w:rsid w:val="005446F6"/>
    <w:rsid w:val="0054561A"/>
    <w:rsid w:val="005461E5"/>
    <w:rsid w:val="00547E4E"/>
    <w:rsid w:val="00550D14"/>
    <w:rsid w:val="00550D2F"/>
    <w:rsid w:val="005539E0"/>
    <w:rsid w:val="00554077"/>
    <w:rsid w:val="00555997"/>
    <w:rsid w:val="00555CA7"/>
    <w:rsid w:val="005576F9"/>
    <w:rsid w:val="00557A96"/>
    <w:rsid w:val="00561B84"/>
    <w:rsid w:val="00562C89"/>
    <w:rsid w:val="00564928"/>
    <w:rsid w:val="00566C18"/>
    <w:rsid w:val="0057254C"/>
    <w:rsid w:val="005733E1"/>
    <w:rsid w:val="0057773D"/>
    <w:rsid w:val="00584FFD"/>
    <w:rsid w:val="005854F9"/>
    <w:rsid w:val="00585F25"/>
    <w:rsid w:val="00586457"/>
    <w:rsid w:val="005902A7"/>
    <w:rsid w:val="00591BE1"/>
    <w:rsid w:val="005922DC"/>
    <w:rsid w:val="00594D57"/>
    <w:rsid w:val="00595DA9"/>
    <w:rsid w:val="0059738E"/>
    <w:rsid w:val="005979AB"/>
    <w:rsid w:val="005A0420"/>
    <w:rsid w:val="005A0E28"/>
    <w:rsid w:val="005A255C"/>
    <w:rsid w:val="005B0958"/>
    <w:rsid w:val="005B174F"/>
    <w:rsid w:val="005B4E6A"/>
    <w:rsid w:val="005B4FF4"/>
    <w:rsid w:val="005B5602"/>
    <w:rsid w:val="005B6E9A"/>
    <w:rsid w:val="005C0326"/>
    <w:rsid w:val="005C04FA"/>
    <w:rsid w:val="005C2889"/>
    <w:rsid w:val="005C3B7A"/>
    <w:rsid w:val="005C54EF"/>
    <w:rsid w:val="005C7565"/>
    <w:rsid w:val="005C7C3D"/>
    <w:rsid w:val="005D140E"/>
    <w:rsid w:val="005D1575"/>
    <w:rsid w:val="005D215F"/>
    <w:rsid w:val="005D4E16"/>
    <w:rsid w:val="005D583C"/>
    <w:rsid w:val="005D66C8"/>
    <w:rsid w:val="005D70E5"/>
    <w:rsid w:val="005E269B"/>
    <w:rsid w:val="005E6A93"/>
    <w:rsid w:val="005F279B"/>
    <w:rsid w:val="005F3C5A"/>
    <w:rsid w:val="005F4667"/>
    <w:rsid w:val="005F5B0E"/>
    <w:rsid w:val="0060287C"/>
    <w:rsid w:val="00603235"/>
    <w:rsid w:val="0060380C"/>
    <w:rsid w:val="00606569"/>
    <w:rsid w:val="006065E5"/>
    <w:rsid w:val="00620008"/>
    <w:rsid w:val="006203F4"/>
    <w:rsid w:val="006237F5"/>
    <w:rsid w:val="00624BBC"/>
    <w:rsid w:val="0062569A"/>
    <w:rsid w:val="006267CB"/>
    <w:rsid w:val="006277B1"/>
    <w:rsid w:val="0063036A"/>
    <w:rsid w:val="00631FE4"/>
    <w:rsid w:val="00635085"/>
    <w:rsid w:val="0063616E"/>
    <w:rsid w:val="00640176"/>
    <w:rsid w:val="0064330F"/>
    <w:rsid w:val="0064557C"/>
    <w:rsid w:val="00646930"/>
    <w:rsid w:val="00647EE2"/>
    <w:rsid w:val="0065416B"/>
    <w:rsid w:val="00662B60"/>
    <w:rsid w:val="00666ECD"/>
    <w:rsid w:val="00667FAE"/>
    <w:rsid w:val="0067268F"/>
    <w:rsid w:val="006729C3"/>
    <w:rsid w:val="00673953"/>
    <w:rsid w:val="00674AD7"/>
    <w:rsid w:val="00676013"/>
    <w:rsid w:val="0068129E"/>
    <w:rsid w:val="006821E9"/>
    <w:rsid w:val="00682D65"/>
    <w:rsid w:val="00685F1C"/>
    <w:rsid w:val="00692333"/>
    <w:rsid w:val="00695D92"/>
    <w:rsid w:val="006A1971"/>
    <w:rsid w:val="006A3527"/>
    <w:rsid w:val="006A3B63"/>
    <w:rsid w:val="006A4A2C"/>
    <w:rsid w:val="006B0D8B"/>
    <w:rsid w:val="006B15C1"/>
    <w:rsid w:val="006B3EA7"/>
    <w:rsid w:val="006B7AA6"/>
    <w:rsid w:val="006C0F39"/>
    <w:rsid w:val="006C23F4"/>
    <w:rsid w:val="006C3C20"/>
    <w:rsid w:val="006C4B57"/>
    <w:rsid w:val="006C6814"/>
    <w:rsid w:val="006C6E14"/>
    <w:rsid w:val="006D01BD"/>
    <w:rsid w:val="006D1A65"/>
    <w:rsid w:val="006D222F"/>
    <w:rsid w:val="006D40CC"/>
    <w:rsid w:val="006D5381"/>
    <w:rsid w:val="006E00C6"/>
    <w:rsid w:val="006E1013"/>
    <w:rsid w:val="006E104F"/>
    <w:rsid w:val="006E142D"/>
    <w:rsid w:val="006E1896"/>
    <w:rsid w:val="006E37F1"/>
    <w:rsid w:val="006E3F05"/>
    <w:rsid w:val="006F02B9"/>
    <w:rsid w:val="006F0BD2"/>
    <w:rsid w:val="006F4BD8"/>
    <w:rsid w:val="006F4C33"/>
    <w:rsid w:val="006F65A3"/>
    <w:rsid w:val="00703CC3"/>
    <w:rsid w:val="007053F9"/>
    <w:rsid w:val="00706401"/>
    <w:rsid w:val="007103E4"/>
    <w:rsid w:val="00712945"/>
    <w:rsid w:val="00716411"/>
    <w:rsid w:val="00717E81"/>
    <w:rsid w:val="00722047"/>
    <w:rsid w:val="007245B7"/>
    <w:rsid w:val="00724E78"/>
    <w:rsid w:val="0072534B"/>
    <w:rsid w:val="00726457"/>
    <w:rsid w:val="00726CBF"/>
    <w:rsid w:val="007272C6"/>
    <w:rsid w:val="00727725"/>
    <w:rsid w:val="00733032"/>
    <w:rsid w:val="007337AA"/>
    <w:rsid w:val="007338D0"/>
    <w:rsid w:val="0073590B"/>
    <w:rsid w:val="007417C2"/>
    <w:rsid w:val="00741BF6"/>
    <w:rsid w:val="007442B2"/>
    <w:rsid w:val="00744693"/>
    <w:rsid w:val="007474C3"/>
    <w:rsid w:val="00750972"/>
    <w:rsid w:val="00751871"/>
    <w:rsid w:val="00753A9A"/>
    <w:rsid w:val="007614CA"/>
    <w:rsid w:val="00761C8F"/>
    <w:rsid w:val="007657E8"/>
    <w:rsid w:val="00765C4F"/>
    <w:rsid w:val="00774BB0"/>
    <w:rsid w:val="0078356D"/>
    <w:rsid w:val="00784C5D"/>
    <w:rsid w:val="007873D0"/>
    <w:rsid w:val="00795074"/>
    <w:rsid w:val="007A2971"/>
    <w:rsid w:val="007A4808"/>
    <w:rsid w:val="007A4A70"/>
    <w:rsid w:val="007A4DB0"/>
    <w:rsid w:val="007A59E7"/>
    <w:rsid w:val="007A7767"/>
    <w:rsid w:val="007B0136"/>
    <w:rsid w:val="007B0BB8"/>
    <w:rsid w:val="007B1D3B"/>
    <w:rsid w:val="007B41B4"/>
    <w:rsid w:val="007C1433"/>
    <w:rsid w:val="007C6367"/>
    <w:rsid w:val="007C73C6"/>
    <w:rsid w:val="007D0629"/>
    <w:rsid w:val="007D2887"/>
    <w:rsid w:val="007D4A30"/>
    <w:rsid w:val="007D558D"/>
    <w:rsid w:val="007D6CF8"/>
    <w:rsid w:val="007D716D"/>
    <w:rsid w:val="007D7AB3"/>
    <w:rsid w:val="007E2A9D"/>
    <w:rsid w:val="007E50F5"/>
    <w:rsid w:val="007E6C98"/>
    <w:rsid w:val="007E6E6B"/>
    <w:rsid w:val="007F117D"/>
    <w:rsid w:val="007F1611"/>
    <w:rsid w:val="007F250A"/>
    <w:rsid w:val="007F2B95"/>
    <w:rsid w:val="007F69E1"/>
    <w:rsid w:val="007F7C74"/>
    <w:rsid w:val="0080021E"/>
    <w:rsid w:val="0080163F"/>
    <w:rsid w:val="00803049"/>
    <w:rsid w:val="00805322"/>
    <w:rsid w:val="00805CC8"/>
    <w:rsid w:val="00807417"/>
    <w:rsid w:val="00810BAE"/>
    <w:rsid w:val="008133EC"/>
    <w:rsid w:val="008139DE"/>
    <w:rsid w:val="00813C7F"/>
    <w:rsid w:val="00814085"/>
    <w:rsid w:val="00816B10"/>
    <w:rsid w:val="008240C0"/>
    <w:rsid w:val="00824A44"/>
    <w:rsid w:val="00826326"/>
    <w:rsid w:val="008273AC"/>
    <w:rsid w:val="00827E52"/>
    <w:rsid w:val="0083144E"/>
    <w:rsid w:val="008332F5"/>
    <w:rsid w:val="008368E9"/>
    <w:rsid w:val="008376F6"/>
    <w:rsid w:val="008379F7"/>
    <w:rsid w:val="00837F5E"/>
    <w:rsid w:val="008400D4"/>
    <w:rsid w:val="008411B6"/>
    <w:rsid w:val="00847036"/>
    <w:rsid w:val="008513C3"/>
    <w:rsid w:val="0085334C"/>
    <w:rsid w:val="00853C16"/>
    <w:rsid w:val="0085625F"/>
    <w:rsid w:val="008563C1"/>
    <w:rsid w:val="00856726"/>
    <w:rsid w:val="00856779"/>
    <w:rsid w:val="0085737A"/>
    <w:rsid w:val="00857C9C"/>
    <w:rsid w:val="00870EF3"/>
    <w:rsid w:val="00873B8D"/>
    <w:rsid w:val="0087574A"/>
    <w:rsid w:val="00877978"/>
    <w:rsid w:val="00877F3B"/>
    <w:rsid w:val="0088345A"/>
    <w:rsid w:val="00886762"/>
    <w:rsid w:val="00891EF3"/>
    <w:rsid w:val="008961F1"/>
    <w:rsid w:val="0089708A"/>
    <w:rsid w:val="008A1918"/>
    <w:rsid w:val="008A43EF"/>
    <w:rsid w:val="008A76E3"/>
    <w:rsid w:val="008B3CFA"/>
    <w:rsid w:val="008B3F61"/>
    <w:rsid w:val="008B5583"/>
    <w:rsid w:val="008C09AB"/>
    <w:rsid w:val="008C0E89"/>
    <w:rsid w:val="008C1C9F"/>
    <w:rsid w:val="008C32AB"/>
    <w:rsid w:val="008C3306"/>
    <w:rsid w:val="008C3BD8"/>
    <w:rsid w:val="008C7382"/>
    <w:rsid w:val="008D195F"/>
    <w:rsid w:val="008D58D9"/>
    <w:rsid w:val="008D5EEB"/>
    <w:rsid w:val="008E2159"/>
    <w:rsid w:val="008E2695"/>
    <w:rsid w:val="008E3F67"/>
    <w:rsid w:val="008E4A39"/>
    <w:rsid w:val="008E52F4"/>
    <w:rsid w:val="008E58E7"/>
    <w:rsid w:val="008F317A"/>
    <w:rsid w:val="008F7486"/>
    <w:rsid w:val="00900CF8"/>
    <w:rsid w:val="00901BF3"/>
    <w:rsid w:val="00901EFF"/>
    <w:rsid w:val="00902120"/>
    <w:rsid w:val="00903750"/>
    <w:rsid w:val="00904150"/>
    <w:rsid w:val="0090657A"/>
    <w:rsid w:val="00911B45"/>
    <w:rsid w:val="00914101"/>
    <w:rsid w:val="0091494F"/>
    <w:rsid w:val="00916169"/>
    <w:rsid w:val="00916525"/>
    <w:rsid w:val="00917170"/>
    <w:rsid w:val="00921884"/>
    <w:rsid w:val="009221C8"/>
    <w:rsid w:val="00930AE9"/>
    <w:rsid w:val="0093249F"/>
    <w:rsid w:val="009340C2"/>
    <w:rsid w:val="009342E3"/>
    <w:rsid w:val="00937E33"/>
    <w:rsid w:val="00941DD9"/>
    <w:rsid w:val="009424D2"/>
    <w:rsid w:val="00944068"/>
    <w:rsid w:val="009505F6"/>
    <w:rsid w:val="00950ABE"/>
    <w:rsid w:val="00951164"/>
    <w:rsid w:val="00952BC3"/>
    <w:rsid w:val="00956E7A"/>
    <w:rsid w:val="00960B77"/>
    <w:rsid w:val="00961797"/>
    <w:rsid w:val="00961C43"/>
    <w:rsid w:val="00961F68"/>
    <w:rsid w:val="00962715"/>
    <w:rsid w:val="00962AAE"/>
    <w:rsid w:val="00963B1E"/>
    <w:rsid w:val="00964DC5"/>
    <w:rsid w:val="0097176A"/>
    <w:rsid w:val="00975913"/>
    <w:rsid w:val="00975B23"/>
    <w:rsid w:val="0097632B"/>
    <w:rsid w:val="00977E34"/>
    <w:rsid w:val="00983AC3"/>
    <w:rsid w:val="00983EE6"/>
    <w:rsid w:val="00984383"/>
    <w:rsid w:val="00984DA2"/>
    <w:rsid w:val="009850E5"/>
    <w:rsid w:val="00986E19"/>
    <w:rsid w:val="0099197C"/>
    <w:rsid w:val="00995012"/>
    <w:rsid w:val="00996D47"/>
    <w:rsid w:val="00997B11"/>
    <w:rsid w:val="009A6F9E"/>
    <w:rsid w:val="009B0B16"/>
    <w:rsid w:val="009B1D87"/>
    <w:rsid w:val="009B33CE"/>
    <w:rsid w:val="009B41FF"/>
    <w:rsid w:val="009B6819"/>
    <w:rsid w:val="009B6AD6"/>
    <w:rsid w:val="009C0D2F"/>
    <w:rsid w:val="009C0D50"/>
    <w:rsid w:val="009C37A3"/>
    <w:rsid w:val="009C6BDD"/>
    <w:rsid w:val="009D164F"/>
    <w:rsid w:val="009D1720"/>
    <w:rsid w:val="009D1BE2"/>
    <w:rsid w:val="009D322E"/>
    <w:rsid w:val="009D440E"/>
    <w:rsid w:val="009D44BA"/>
    <w:rsid w:val="009E1D88"/>
    <w:rsid w:val="009E59E8"/>
    <w:rsid w:val="009F009D"/>
    <w:rsid w:val="009F2999"/>
    <w:rsid w:val="009F35E7"/>
    <w:rsid w:val="009F4C2C"/>
    <w:rsid w:val="009F4F0A"/>
    <w:rsid w:val="009F5499"/>
    <w:rsid w:val="009F5848"/>
    <w:rsid w:val="009F7D1A"/>
    <w:rsid w:val="00A00FBF"/>
    <w:rsid w:val="00A010D0"/>
    <w:rsid w:val="00A020A4"/>
    <w:rsid w:val="00A0230A"/>
    <w:rsid w:val="00A025A0"/>
    <w:rsid w:val="00A02EF4"/>
    <w:rsid w:val="00A07FBE"/>
    <w:rsid w:val="00A100BB"/>
    <w:rsid w:val="00A11A19"/>
    <w:rsid w:val="00A12F4D"/>
    <w:rsid w:val="00A14CD3"/>
    <w:rsid w:val="00A235F9"/>
    <w:rsid w:val="00A236E8"/>
    <w:rsid w:val="00A25B40"/>
    <w:rsid w:val="00A26C48"/>
    <w:rsid w:val="00A27F8C"/>
    <w:rsid w:val="00A30EC6"/>
    <w:rsid w:val="00A40958"/>
    <w:rsid w:val="00A41457"/>
    <w:rsid w:val="00A4189A"/>
    <w:rsid w:val="00A43A74"/>
    <w:rsid w:val="00A46325"/>
    <w:rsid w:val="00A46410"/>
    <w:rsid w:val="00A50267"/>
    <w:rsid w:val="00A52938"/>
    <w:rsid w:val="00A56CEE"/>
    <w:rsid w:val="00A60AD7"/>
    <w:rsid w:val="00A6122E"/>
    <w:rsid w:val="00A61453"/>
    <w:rsid w:val="00A6211F"/>
    <w:rsid w:val="00A639F5"/>
    <w:rsid w:val="00A64376"/>
    <w:rsid w:val="00A65022"/>
    <w:rsid w:val="00A66295"/>
    <w:rsid w:val="00A67BB9"/>
    <w:rsid w:val="00A67FE1"/>
    <w:rsid w:val="00A72B28"/>
    <w:rsid w:val="00A7509B"/>
    <w:rsid w:val="00A75BCD"/>
    <w:rsid w:val="00A76C09"/>
    <w:rsid w:val="00A77A61"/>
    <w:rsid w:val="00A83D9D"/>
    <w:rsid w:val="00A913D2"/>
    <w:rsid w:val="00A92567"/>
    <w:rsid w:val="00A92964"/>
    <w:rsid w:val="00A9479E"/>
    <w:rsid w:val="00A9545B"/>
    <w:rsid w:val="00A96091"/>
    <w:rsid w:val="00A97309"/>
    <w:rsid w:val="00A97C0B"/>
    <w:rsid w:val="00AA48EC"/>
    <w:rsid w:val="00AB3B57"/>
    <w:rsid w:val="00AB5D36"/>
    <w:rsid w:val="00AB70DC"/>
    <w:rsid w:val="00AC35E8"/>
    <w:rsid w:val="00AC49A2"/>
    <w:rsid w:val="00AC6571"/>
    <w:rsid w:val="00AD133B"/>
    <w:rsid w:val="00AD189D"/>
    <w:rsid w:val="00AD3E76"/>
    <w:rsid w:val="00AD4D23"/>
    <w:rsid w:val="00AD4EF8"/>
    <w:rsid w:val="00AE56A3"/>
    <w:rsid w:val="00AE5979"/>
    <w:rsid w:val="00AE5D45"/>
    <w:rsid w:val="00AE625A"/>
    <w:rsid w:val="00AE67D7"/>
    <w:rsid w:val="00AE75DE"/>
    <w:rsid w:val="00AE7BA1"/>
    <w:rsid w:val="00AF0603"/>
    <w:rsid w:val="00AF1359"/>
    <w:rsid w:val="00AF4326"/>
    <w:rsid w:val="00AF6326"/>
    <w:rsid w:val="00B01C2C"/>
    <w:rsid w:val="00B03BD3"/>
    <w:rsid w:val="00B05667"/>
    <w:rsid w:val="00B07D9F"/>
    <w:rsid w:val="00B11854"/>
    <w:rsid w:val="00B16B85"/>
    <w:rsid w:val="00B220DD"/>
    <w:rsid w:val="00B25BAD"/>
    <w:rsid w:val="00B26154"/>
    <w:rsid w:val="00B34CEA"/>
    <w:rsid w:val="00B361AA"/>
    <w:rsid w:val="00B37710"/>
    <w:rsid w:val="00B424E0"/>
    <w:rsid w:val="00B43387"/>
    <w:rsid w:val="00B43679"/>
    <w:rsid w:val="00B46F7E"/>
    <w:rsid w:val="00B50A81"/>
    <w:rsid w:val="00B51399"/>
    <w:rsid w:val="00B51FAB"/>
    <w:rsid w:val="00B54B76"/>
    <w:rsid w:val="00B56045"/>
    <w:rsid w:val="00B560C0"/>
    <w:rsid w:val="00B565FD"/>
    <w:rsid w:val="00B602C9"/>
    <w:rsid w:val="00B61290"/>
    <w:rsid w:val="00B61EB9"/>
    <w:rsid w:val="00B63344"/>
    <w:rsid w:val="00B65146"/>
    <w:rsid w:val="00B65B06"/>
    <w:rsid w:val="00B6724E"/>
    <w:rsid w:val="00B70013"/>
    <w:rsid w:val="00B70CAD"/>
    <w:rsid w:val="00B72CB0"/>
    <w:rsid w:val="00B72E54"/>
    <w:rsid w:val="00B7675F"/>
    <w:rsid w:val="00B77434"/>
    <w:rsid w:val="00B81B7F"/>
    <w:rsid w:val="00B82D54"/>
    <w:rsid w:val="00B86CEE"/>
    <w:rsid w:val="00B87657"/>
    <w:rsid w:val="00B92F9E"/>
    <w:rsid w:val="00B9329F"/>
    <w:rsid w:val="00B93858"/>
    <w:rsid w:val="00B94603"/>
    <w:rsid w:val="00B94A60"/>
    <w:rsid w:val="00B94FCF"/>
    <w:rsid w:val="00B95A47"/>
    <w:rsid w:val="00B95D07"/>
    <w:rsid w:val="00B96B94"/>
    <w:rsid w:val="00BA15F8"/>
    <w:rsid w:val="00BA1A15"/>
    <w:rsid w:val="00BA2887"/>
    <w:rsid w:val="00BA2BCB"/>
    <w:rsid w:val="00BA34D7"/>
    <w:rsid w:val="00BA678E"/>
    <w:rsid w:val="00BA7E43"/>
    <w:rsid w:val="00BB0EAE"/>
    <w:rsid w:val="00BB2357"/>
    <w:rsid w:val="00BB285D"/>
    <w:rsid w:val="00BB2C70"/>
    <w:rsid w:val="00BC0AE1"/>
    <w:rsid w:val="00BC683B"/>
    <w:rsid w:val="00BD4226"/>
    <w:rsid w:val="00BD5185"/>
    <w:rsid w:val="00BD60B5"/>
    <w:rsid w:val="00BD7A99"/>
    <w:rsid w:val="00BE4089"/>
    <w:rsid w:val="00C003AE"/>
    <w:rsid w:val="00C05904"/>
    <w:rsid w:val="00C06346"/>
    <w:rsid w:val="00C077D1"/>
    <w:rsid w:val="00C107CC"/>
    <w:rsid w:val="00C12365"/>
    <w:rsid w:val="00C12C35"/>
    <w:rsid w:val="00C13E6F"/>
    <w:rsid w:val="00C16414"/>
    <w:rsid w:val="00C20098"/>
    <w:rsid w:val="00C2117F"/>
    <w:rsid w:val="00C254F7"/>
    <w:rsid w:val="00C266F7"/>
    <w:rsid w:val="00C30A5F"/>
    <w:rsid w:val="00C35506"/>
    <w:rsid w:val="00C35D40"/>
    <w:rsid w:val="00C40209"/>
    <w:rsid w:val="00C403A0"/>
    <w:rsid w:val="00C40B06"/>
    <w:rsid w:val="00C43DF2"/>
    <w:rsid w:val="00C450DB"/>
    <w:rsid w:val="00C45259"/>
    <w:rsid w:val="00C462A7"/>
    <w:rsid w:val="00C477EF"/>
    <w:rsid w:val="00C50F11"/>
    <w:rsid w:val="00C51218"/>
    <w:rsid w:val="00C52867"/>
    <w:rsid w:val="00C5654B"/>
    <w:rsid w:val="00C56F8E"/>
    <w:rsid w:val="00C60333"/>
    <w:rsid w:val="00C64A83"/>
    <w:rsid w:val="00C66837"/>
    <w:rsid w:val="00C7069F"/>
    <w:rsid w:val="00C7077A"/>
    <w:rsid w:val="00C71737"/>
    <w:rsid w:val="00C74B75"/>
    <w:rsid w:val="00C758CB"/>
    <w:rsid w:val="00C81A86"/>
    <w:rsid w:val="00C82D5E"/>
    <w:rsid w:val="00C86136"/>
    <w:rsid w:val="00C92BAC"/>
    <w:rsid w:val="00C94F56"/>
    <w:rsid w:val="00C96F17"/>
    <w:rsid w:val="00C971C5"/>
    <w:rsid w:val="00C97382"/>
    <w:rsid w:val="00C97A7F"/>
    <w:rsid w:val="00CA1413"/>
    <w:rsid w:val="00CA2096"/>
    <w:rsid w:val="00CA2E00"/>
    <w:rsid w:val="00CA3FBB"/>
    <w:rsid w:val="00CA4B54"/>
    <w:rsid w:val="00CB1789"/>
    <w:rsid w:val="00CB6C00"/>
    <w:rsid w:val="00CC2924"/>
    <w:rsid w:val="00CC3392"/>
    <w:rsid w:val="00CC38C9"/>
    <w:rsid w:val="00CC60CB"/>
    <w:rsid w:val="00CD3CAB"/>
    <w:rsid w:val="00CD5942"/>
    <w:rsid w:val="00CE1D9C"/>
    <w:rsid w:val="00CE309C"/>
    <w:rsid w:val="00CE35AE"/>
    <w:rsid w:val="00CE4821"/>
    <w:rsid w:val="00CE6B3B"/>
    <w:rsid w:val="00CF04D5"/>
    <w:rsid w:val="00CF2F4A"/>
    <w:rsid w:val="00CF4389"/>
    <w:rsid w:val="00D038EF"/>
    <w:rsid w:val="00D07C64"/>
    <w:rsid w:val="00D127E6"/>
    <w:rsid w:val="00D132AB"/>
    <w:rsid w:val="00D17484"/>
    <w:rsid w:val="00D21A2C"/>
    <w:rsid w:val="00D2248B"/>
    <w:rsid w:val="00D2318E"/>
    <w:rsid w:val="00D24764"/>
    <w:rsid w:val="00D27BD2"/>
    <w:rsid w:val="00D30CDE"/>
    <w:rsid w:val="00D373F8"/>
    <w:rsid w:val="00D40822"/>
    <w:rsid w:val="00D45EF5"/>
    <w:rsid w:val="00D515EB"/>
    <w:rsid w:val="00D51673"/>
    <w:rsid w:val="00D55E6E"/>
    <w:rsid w:val="00D62631"/>
    <w:rsid w:val="00D63463"/>
    <w:rsid w:val="00D65D10"/>
    <w:rsid w:val="00D67A5D"/>
    <w:rsid w:val="00D726C2"/>
    <w:rsid w:val="00D72D53"/>
    <w:rsid w:val="00D743A8"/>
    <w:rsid w:val="00D75DC9"/>
    <w:rsid w:val="00D77718"/>
    <w:rsid w:val="00D812BD"/>
    <w:rsid w:val="00D8182F"/>
    <w:rsid w:val="00D846CB"/>
    <w:rsid w:val="00D84C85"/>
    <w:rsid w:val="00D84E08"/>
    <w:rsid w:val="00D8787D"/>
    <w:rsid w:val="00D91585"/>
    <w:rsid w:val="00D91670"/>
    <w:rsid w:val="00D931D4"/>
    <w:rsid w:val="00D93332"/>
    <w:rsid w:val="00D93769"/>
    <w:rsid w:val="00D93A3C"/>
    <w:rsid w:val="00D95D08"/>
    <w:rsid w:val="00D96B2D"/>
    <w:rsid w:val="00DA1190"/>
    <w:rsid w:val="00DA48EB"/>
    <w:rsid w:val="00DA60E8"/>
    <w:rsid w:val="00DA66A8"/>
    <w:rsid w:val="00DB11E5"/>
    <w:rsid w:val="00DC0924"/>
    <w:rsid w:val="00DC0979"/>
    <w:rsid w:val="00DC5FDA"/>
    <w:rsid w:val="00DC60F0"/>
    <w:rsid w:val="00DD78EC"/>
    <w:rsid w:val="00DD7A72"/>
    <w:rsid w:val="00DE5547"/>
    <w:rsid w:val="00DE6624"/>
    <w:rsid w:val="00DE739C"/>
    <w:rsid w:val="00DE76FB"/>
    <w:rsid w:val="00DF024D"/>
    <w:rsid w:val="00DF05EB"/>
    <w:rsid w:val="00DF7C2E"/>
    <w:rsid w:val="00E04336"/>
    <w:rsid w:val="00E05112"/>
    <w:rsid w:val="00E05A87"/>
    <w:rsid w:val="00E05BEF"/>
    <w:rsid w:val="00E07417"/>
    <w:rsid w:val="00E07E3A"/>
    <w:rsid w:val="00E1052B"/>
    <w:rsid w:val="00E11A3F"/>
    <w:rsid w:val="00E11EA2"/>
    <w:rsid w:val="00E120A1"/>
    <w:rsid w:val="00E123B8"/>
    <w:rsid w:val="00E130EE"/>
    <w:rsid w:val="00E13234"/>
    <w:rsid w:val="00E1762A"/>
    <w:rsid w:val="00E2103E"/>
    <w:rsid w:val="00E23865"/>
    <w:rsid w:val="00E25B29"/>
    <w:rsid w:val="00E27237"/>
    <w:rsid w:val="00E27417"/>
    <w:rsid w:val="00E30BEE"/>
    <w:rsid w:val="00E31DF6"/>
    <w:rsid w:val="00E32F14"/>
    <w:rsid w:val="00E33A5F"/>
    <w:rsid w:val="00E34074"/>
    <w:rsid w:val="00E40DC6"/>
    <w:rsid w:val="00E40E20"/>
    <w:rsid w:val="00E43658"/>
    <w:rsid w:val="00E43D35"/>
    <w:rsid w:val="00E44595"/>
    <w:rsid w:val="00E455A2"/>
    <w:rsid w:val="00E46734"/>
    <w:rsid w:val="00E47464"/>
    <w:rsid w:val="00E50F03"/>
    <w:rsid w:val="00E5379A"/>
    <w:rsid w:val="00E65185"/>
    <w:rsid w:val="00E6607C"/>
    <w:rsid w:val="00E6627A"/>
    <w:rsid w:val="00E66D6E"/>
    <w:rsid w:val="00E67F80"/>
    <w:rsid w:val="00E703F0"/>
    <w:rsid w:val="00E741EF"/>
    <w:rsid w:val="00E760FB"/>
    <w:rsid w:val="00E77650"/>
    <w:rsid w:val="00E8749C"/>
    <w:rsid w:val="00E87B47"/>
    <w:rsid w:val="00E91307"/>
    <w:rsid w:val="00E946AA"/>
    <w:rsid w:val="00E97F29"/>
    <w:rsid w:val="00EA0C30"/>
    <w:rsid w:val="00EA4222"/>
    <w:rsid w:val="00EA4A44"/>
    <w:rsid w:val="00EA686D"/>
    <w:rsid w:val="00EB345A"/>
    <w:rsid w:val="00EB70EE"/>
    <w:rsid w:val="00EB7A6F"/>
    <w:rsid w:val="00EC017F"/>
    <w:rsid w:val="00EC0A4E"/>
    <w:rsid w:val="00EC23A9"/>
    <w:rsid w:val="00EC24FD"/>
    <w:rsid w:val="00EC69EF"/>
    <w:rsid w:val="00ED305F"/>
    <w:rsid w:val="00ED332A"/>
    <w:rsid w:val="00ED4068"/>
    <w:rsid w:val="00ED4200"/>
    <w:rsid w:val="00ED458B"/>
    <w:rsid w:val="00EE1B39"/>
    <w:rsid w:val="00EE2134"/>
    <w:rsid w:val="00EE3B9D"/>
    <w:rsid w:val="00EE7E46"/>
    <w:rsid w:val="00EF1078"/>
    <w:rsid w:val="00EF55C4"/>
    <w:rsid w:val="00EF5ADF"/>
    <w:rsid w:val="00EF6097"/>
    <w:rsid w:val="00F01459"/>
    <w:rsid w:val="00F07018"/>
    <w:rsid w:val="00F072F4"/>
    <w:rsid w:val="00F076F9"/>
    <w:rsid w:val="00F128D4"/>
    <w:rsid w:val="00F152FC"/>
    <w:rsid w:val="00F20112"/>
    <w:rsid w:val="00F209FC"/>
    <w:rsid w:val="00F2216F"/>
    <w:rsid w:val="00F23134"/>
    <w:rsid w:val="00F23FAB"/>
    <w:rsid w:val="00F26208"/>
    <w:rsid w:val="00F33044"/>
    <w:rsid w:val="00F344F8"/>
    <w:rsid w:val="00F35310"/>
    <w:rsid w:val="00F35320"/>
    <w:rsid w:val="00F3675F"/>
    <w:rsid w:val="00F36893"/>
    <w:rsid w:val="00F4009A"/>
    <w:rsid w:val="00F42815"/>
    <w:rsid w:val="00F46ADD"/>
    <w:rsid w:val="00F473B5"/>
    <w:rsid w:val="00F51C65"/>
    <w:rsid w:val="00F57474"/>
    <w:rsid w:val="00F57B8D"/>
    <w:rsid w:val="00F57FBB"/>
    <w:rsid w:val="00F60381"/>
    <w:rsid w:val="00F64495"/>
    <w:rsid w:val="00F66276"/>
    <w:rsid w:val="00F67DE3"/>
    <w:rsid w:val="00F707CA"/>
    <w:rsid w:val="00F72108"/>
    <w:rsid w:val="00F72A17"/>
    <w:rsid w:val="00F72EA7"/>
    <w:rsid w:val="00F7572C"/>
    <w:rsid w:val="00F764E3"/>
    <w:rsid w:val="00F76B59"/>
    <w:rsid w:val="00F777BB"/>
    <w:rsid w:val="00F77E17"/>
    <w:rsid w:val="00F82F0E"/>
    <w:rsid w:val="00F83ED4"/>
    <w:rsid w:val="00F87FAE"/>
    <w:rsid w:val="00F92FF2"/>
    <w:rsid w:val="00F9371A"/>
    <w:rsid w:val="00F94BBA"/>
    <w:rsid w:val="00F96982"/>
    <w:rsid w:val="00F96C31"/>
    <w:rsid w:val="00F974FE"/>
    <w:rsid w:val="00FA0015"/>
    <w:rsid w:val="00FA29A6"/>
    <w:rsid w:val="00FA3B13"/>
    <w:rsid w:val="00FA5E4D"/>
    <w:rsid w:val="00FA7FD3"/>
    <w:rsid w:val="00FB0D09"/>
    <w:rsid w:val="00FB333B"/>
    <w:rsid w:val="00FB417B"/>
    <w:rsid w:val="00FB4D28"/>
    <w:rsid w:val="00FB6662"/>
    <w:rsid w:val="00FB71FF"/>
    <w:rsid w:val="00FC06F7"/>
    <w:rsid w:val="00FC2417"/>
    <w:rsid w:val="00FC3958"/>
    <w:rsid w:val="00FC51DA"/>
    <w:rsid w:val="00FC556D"/>
    <w:rsid w:val="00FC7518"/>
    <w:rsid w:val="00FD2444"/>
    <w:rsid w:val="00FD5648"/>
    <w:rsid w:val="00FD7BA1"/>
    <w:rsid w:val="00FE27DD"/>
    <w:rsid w:val="00FE63E8"/>
    <w:rsid w:val="00FE72D9"/>
    <w:rsid w:val="00FF0D9F"/>
    <w:rsid w:val="00FF1662"/>
    <w:rsid w:val="00FF4AF2"/>
    <w:rsid w:val="00FF5957"/>
    <w:rsid w:val="00FF5D31"/>
    <w:rsid w:val="0872963A"/>
    <w:rsid w:val="11A2EC3F"/>
    <w:rsid w:val="220EDB27"/>
    <w:rsid w:val="34C660C7"/>
    <w:rsid w:val="42A0F8EF"/>
    <w:rsid w:val="4CFB8929"/>
    <w:rsid w:val="5C4A8957"/>
    <w:rsid w:val="61BDCED8"/>
    <w:rsid w:val="644F8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A54BEC"/>
  <w15:docId w15:val="{6A258BE7-4FB6-4DD1-A739-2472E839E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60"/>
    <w:rPr>
      <w:rFonts w:ascii="Arial" w:hAnsi="Arial"/>
      <w:sz w:val="24"/>
      <w:lang w:eastAsia="en-US"/>
    </w:rPr>
  </w:style>
  <w:style w:type="paragraph" w:styleId="Heading1">
    <w:name w:val="heading 1"/>
    <w:basedOn w:val="Normal"/>
    <w:next w:val="Normal"/>
    <w:qFormat/>
    <w:rsid w:val="00055814"/>
    <w:pPr>
      <w:keepNext/>
      <w:spacing w:before="240" w:after="60"/>
      <w:ind w:left="720" w:hanging="720"/>
      <w:outlineLvl w:val="0"/>
    </w:pPr>
    <w:rPr>
      <w:rFonts w:cs="Arial"/>
      <w:b/>
      <w:bCs/>
      <w:kern w:val="32"/>
      <w:sz w:val="28"/>
      <w:szCs w:val="32"/>
    </w:rPr>
  </w:style>
  <w:style w:type="paragraph" w:styleId="Heading2">
    <w:name w:val="heading 2"/>
    <w:basedOn w:val="Normal"/>
    <w:next w:val="Normal"/>
    <w:qFormat/>
    <w:rsid w:val="00662B60"/>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
    <w:name w:val="Policy"/>
    <w:basedOn w:val="Heading1"/>
    <w:rsid w:val="00662B60"/>
    <w:pPr>
      <w:overflowPunct w:val="0"/>
      <w:autoSpaceDE w:val="0"/>
      <w:autoSpaceDN w:val="0"/>
      <w:adjustRightInd w:val="0"/>
      <w:spacing w:before="120" w:after="120"/>
      <w:textAlignment w:val="baseline"/>
    </w:pPr>
    <w:rPr>
      <w:rFonts w:cs="Times New Roman"/>
      <w:bCs w:val="0"/>
      <w:kern w:val="28"/>
      <w:szCs w:val="20"/>
    </w:rPr>
  </w:style>
  <w:style w:type="paragraph" w:customStyle="1" w:styleId="Style1">
    <w:name w:val="Style1"/>
    <w:basedOn w:val="Normal"/>
    <w:rsid w:val="00662B60"/>
  </w:style>
  <w:style w:type="paragraph" w:customStyle="1" w:styleId="StyleArialBold12ptBoldAllcaps">
    <w:name w:val="Style Arial Bold 12 pt Bold All caps"/>
    <w:basedOn w:val="Normal"/>
    <w:next w:val="BodyText"/>
    <w:rsid w:val="00662B60"/>
    <w:pPr>
      <w:numPr>
        <w:numId w:val="1"/>
      </w:numPr>
      <w:spacing w:before="360" w:after="240"/>
      <w:outlineLvl w:val="0"/>
    </w:pPr>
    <w:rPr>
      <w:rFonts w:ascii="Arial Bold" w:hAnsi="Arial Bold"/>
      <w:b/>
      <w:caps/>
      <w:szCs w:val="22"/>
      <w:lang w:val="en-US"/>
    </w:rPr>
  </w:style>
  <w:style w:type="character" w:customStyle="1" w:styleId="StyleArialBold12ptBoldAllcapsCharChar">
    <w:name w:val="Style Arial Bold 12 pt Bold All caps Char Char"/>
    <w:rsid w:val="00662B60"/>
    <w:rPr>
      <w:rFonts w:ascii="Arial Bold" w:hAnsi="Arial Bold"/>
      <w:b/>
      <w:caps/>
      <w:sz w:val="24"/>
      <w:szCs w:val="22"/>
      <w:lang w:val="en-US" w:eastAsia="en-US" w:bidi="ar-SA"/>
    </w:rPr>
  </w:style>
  <w:style w:type="paragraph" w:styleId="BodyText">
    <w:name w:val="Body Text"/>
    <w:basedOn w:val="Normal"/>
    <w:rsid w:val="00662B60"/>
    <w:pPr>
      <w:spacing w:after="120"/>
    </w:pPr>
  </w:style>
  <w:style w:type="paragraph" w:customStyle="1" w:styleId="StyleStyle1Before12ptAfter6pt">
    <w:name w:val="Style Style1 + Before:  12 pt After:  6 pt"/>
    <w:basedOn w:val="Style1"/>
    <w:rsid w:val="00662B60"/>
    <w:pPr>
      <w:spacing w:before="240" w:after="120"/>
    </w:pPr>
  </w:style>
  <w:style w:type="paragraph" w:styleId="FootnoteText">
    <w:name w:val="footnote text"/>
    <w:basedOn w:val="Normal"/>
    <w:semiHidden/>
    <w:rsid w:val="00662B60"/>
    <w:pPr>
      <w:spacing w:before="200" w:after="200"/>
      <w:jc w:val="both"/>
    </w:pPr>
    <w:rPr>
      <w:sz w:val="20"/>
      <w:lang w:eastAsia="en-GB"/>
    </w:rPr>
  </w:style>
  <w:style w:type="character" w:styleId="FootnoteReference">
    <w:name w:val="footnote reference"/>
    <w:semiHidden/>
    <w:rsid w:val="00662B60"/>
    <w:rPr>
      <w:vertAlign w:val="superscript"/>
    </w:rPr>
  </w:style>
  <w:style w:type="paragraph" w:styleId="Footer">
    <w:name w:val="footer"/>
    <w:basedOn w:val="Normal"/>
    <w:link w:val="FooterChar"/>
    <w:uiPriority w:val="99"/>
    <w:rsid w:val="00662B60"/>
    <w:pPr>
      <w:tabs>
        <w:tab w:val="center" w:pos="4153"/>
        <w:tab w:val="right" w:pos="8306"/>
      </w:tabs>
    </w:pPr>
    <w:rPr>
      <w:sz w:val="22"/>
      <w:szCs w:val="22"/>
      <w:lang w:val="en-US"/>
    </w:rPr>
  </w:style>
  <w:style w:type="paragraph" w:styleId="ListParagraph">
    <w:name w:val="List Paragraph"/>
    <w:basedOn w:val="Normal"/>
    <w:uiPriority w:val="34"/>
    <w:qFormat/>
    <w:rsid w:val="002B100B"/>
    <w:pPr>
      <w:ind w:left="720"/>
      <w:contextualSpacing/>
    </w:pPr>
    <w:rPr>
      <w:rFonts w:cs="Arial"/>
      <w:szCs w:val="24"/>
      <w:lang w:eastAsia="en-GB"/>
    </w:rPr>
  </w:style>
  <w:style w:type="paragraph" w:styleId="Header">
    <w:name w:val="header"/>
    <w:basedOn w:val="Normal"/>
    <w:link w:val="HeaderChar"/>
    <w:uiPriority w:val="99"/>
    <w:rsid w:val="00662B60"/>
    <w:pPr>
      <w:tabs>
        <w:tab w:val="center" w:pos="4153"/>
        <w:tab w:val="right" w:pos="8306"/>
      </w:tabs>
    </w:pPr>
  </w:style>
  <w:style w:type="character" w:styleId="PageNumber">
    <w:name w:val="page number"/>
    <w:basedOn w:val="DefaultParagraphFont"/>
    <w:rsid w:val="00662B60"/>
  </w:style>
  <w:style w:type="paragraph" w:customStyle="1" w:styleId="StyleStyle114ptBold">
    <w:name w:val="Style Style1 + 14 pt Bold"/>
    <w:basedOn w:val="Style1"/>
    <w:rsid w:val="00662B60"/>
    <w:pPr>
      <w:spacing w:before="240" w:after="240"/>
      <w:ind w:left="720" w:hanging="720"/>
      <w:outlineLvl w:val="0"/>
    </w:pPr>
    <w:rPr>
      <w:rFonts w:ascii="Arial (W1)" w:hAnsi="Arial (W1)"/>
      <w:b/>
      <w:bCs/>
      <w:sz w:val="28"/>
    </w:rPr>
  </w:style>
  <w:style w:type="paragraph" w:customStyle="1" w:styleId="StyleStyle114ptBoldLeft0cmFirstline0cmAfter">
    <w:name w:val="Style Style1 + 14 pt Bold Left:  0 cm First line:  0 cm After: ..."/>
    <w:basedOn w:val="Style1"/>
    <w:rsid w:val="00662B60"/>
    <w:pPr>
      <w:spacing w:before="240" w:after="240"/>
      <w:ind w:left="720" w:hanging="720"/>
      <w:outlineLvl w:val="0"/>
    </w:pPr>
    <w:rPr>
      <w:b/>
      <w:bCs/>
      <w:sz w:val="28"/>
    </w:rPr>
  </w:style>
  <w:style w:type="paragraph" w:customStyle="1" w:styleId="StyleStyle1BoldBefore18ptAfter12pt">
    <w:name w:val="Style Style1 + Bold Before:  18 pt After:  12 pt"/>
    <w:basedOn w:val="Style1"/>
    <w:rsid w:val="00662B60"/>
    <w:pPr>
      <w:spacing w:before="360" w:after="240"/>
    </w:pPr>
    <w:rPr>
      <w:rFonts w:ascii="Arial Bold" w:hAnsi="Arial Bold"/>
      <w:b/>
      <w:bCs/>
    </w:rPr>
  </w:style>
  <w:style w:type="paragraph" w:styleId="BodyTextIndent">
    <w:name w:val="Body Text Indent"/>
    <w:basedOn w:val="Normal"/>
    <w:rsid w:val="00662B60"/>
    <w:pPr>
      <w:spacing w:after="120"/>
      <w:ind w:left="283"/>
    </w:pPr>
  </w:style>
  <w:style w:type="paragraph" w:styleId="TOC1">
    <w:name w:val="toc 1"/>
    <w:basedOn w:val="Normal"/>
    <w:next w:val="Normal"/>
    <w:autoRedefine/>
    <w:uiPriority w:val="39"/>
    <w:rsid w:val="005436B0"/>
    <w:pPr>
      <w:tabs>
        <w:tab w:val="right" w:leader="dot" w:pos="9000"/>
      </w:tabs>
      <w:spacing w:line="360" w:lineRule="auto"/>
      <w:ind w:left="851" w:hanging="851"/>
    </w:pPr>
    <w:rPr>
      <w:b/>
      <w:bCs/>
      <w:noProof/>
    </w:rPr>
  </w:style>
  <w:style w:type="character" w:styleId="Hyperlink">
    <w:name w:val="Hyperlink"/>
    <w:uiPriority w:val="99"/>
    <w:qFormat/>
    <w:rsid w:val="00662B60"/>
    <w:rPr>
      <w:color w:val="0000FF"/>
      <w:u w:val="single"/>
    </w:rPr>
  </w:style>
  <w:style w:type="character" w:customStyle="1" w:styleId="Char">
    <w:name w:val="Char"/>
    <w:rsid w:val="00662B60"/>
    <w:rPr>
      <w:rFonts w:ascii="Arial" w:hAnsi="Arial" w:cs="Arial"/>
      <w:bCs/>
      <w:kern w:val="32"/>
      <w:sz w:val="24"/>
      <w:szCs w:val="32"/>
      <w:lang w:val="en-GB" w:eastAsia="en-US" w:bidi="ar-SA"/>
    </w:rPr>
  </w:style>
  <w:style w:type="paragraph" w:styleId="Title">
    <w:name w:val="Title"/>
    <w:basedOn w:val="Normal"/>
    <w:qFormat/>
    <w:rsid w:val="00662B60"/>
    <w:pPr>
      <w:jc w:val="center"/>
    </w:pPr>
    <w:rPr>
      <w:rFonts w:ascii="Times New Roman" w:hAnsi="Times New Roman"/>
      <w:b/>
      <w:sz w:val="20"/>
      <w:lang w:eastAsia="en-GB"/>
    </w:rPr>
  </w:style>
  <w:style w:type="paragraph" w:styleId="BalloonText">
    <w:name w:val="Balloon Text"/>
    <w:basedOn w:val="Normal"/>
    <w:semiHidden/>
    <w:rsid w:val="00662B60"/>
    <w:rPr>
      <w:rFonts w:ascii="Tahoma" w:hAnsi="Tahoma" w:cs="Tahoma"/>
      <w:sz w:val="16"/>
      <w:szCs w:val="16"/>
    </w:rPr>
  </w:style>
  <w:style w:type="character" w:customStyle="1" w:styleId="visualicon">
    <w:name w:val="visualicon"/>
    <w:basedOn w:val="DefaultParagraphFont"/>
    <w:rsid w:val="00662B60"/>
  </w:style>
  <w:style w:type="character" w:styleId="CommentReference">
    <w:name w:val="annotation reference"/>
    <w:uiPriority w:val="99"/>
    <w:rsid w:val="00751871"/>
    <w:rPr>
      <w:sz w:val="16"/>
      <w:szCs w:val="16"/>
    </w:rPr>
  </w:style>
  <w:style w:type="paragraph" w:styleId="CommentText">
    <w:name w:val="annotation text"/>
    <w:basedOn w:val="Normal"/>
    <w:link w:val="CommentTextChar"/>
    <w:uiPriority w:val="99"/>
    <w:rsid w:val="00751871"/>
    <w:rPr>
      <w:sz w:val="20"/>
    </w:rPr>
  </w:style>
  <w:style w:type="character" w:customStyle="1" w:styleId="CommentTextChar">
    <w:name w:val="Comment Text Char"/>
    <w:link w:val="CommentText"/>
    <w:uiPriority w:val="99"/>
    <w:rsid w:val="00751871"/>
    <w:rPr>
      <w:rFonts w:ascii="Arial" w:hAnsi="Arial"/>
      <w:lang w:eastAsia="en-US"/>
    </w:rPr>
  </w:style>
  <w:style w:type="paragraph" w:styleId="CommentSubject">
    <w:name w:val="annotation subject"/>
    <w:basedOn w:val="CommentText"/>
    <w:next w:val="CommentText"/>
    <w:link w:val="CommentSubjectChar"/>
    <w:rsid w:val="00751871"/>
    <w:rPr>
      <w:b/>
      <w:bCs/>
    </w:rPr>
  </w:style>
  <w:style w:type="character" w:customStyle="1" w:styleId="CommentSubjectChar">
    <w:name w:val="Comment Subject Char"/>
    <w:link w:val="CommentSubject"/>
    <w:rsid w:val="00751871"/>
    <w:rPr>
      <w:rFonts w:ascii="Arial" w:hAnsi="Arial"/>
      <w:b/>
      <w:bCs/>
      <w:lang w:eastAsia="en-US"/>
    </w:rPr>
  </w:style>
  <w:style w:type="paragraph" w:styleId="Revision">
    <w:name w:val="Revision"/>
    <w:hidden/>
    <w:uiPriority w:val="99"/>
    <w:semiHidden/>
    <w:rsid w:val="008D195F"/>
    <w:rPr>
      <w:rFonts w:ascii="Arial" w:hAnsi="Arial"/>
      <w:sz w:val="24"/>
      <w:lang w:eastAsia="en-US"/>
    </w:rPr>
  </w:style>
  <w:style w:type="paragraph" w:customStyle="1" w:styleId="PolLevel1">
    <w:name w:val="Pol Level 1"/>
    <w:basedOn w:val="Normal"/>
    <w:autoRedefine/>
    <w:qFormat/>
    <w:rsid w:val="00761C8F"/>
    <w:pPr>
      <w:keepNext/>
      <w:pageBreakBefore/>
      <w:spacing w:before="360" w:after="240"/>
      <w:ind w:left="1162" w:hanging="1162"/>
      <w:outlineLvl w:val="0"/>
    </w:pPr>
    <w:rPr>
      <w:rFonts w:eastAsia="Calibri" w:cs="Arial"/>
      <w:b/>
      <w:bCs/>
      <w:sz w:val="28"/>
      <w:szCs w:val="28"/>
    </w:rPr>
  </w:style>
  <w:style w:type="paragraph" w:customStyle="1" w:styleId="PolLevel4">
    <w:name w:val="Pol Level 4"/>
    <w:basedOn w:val="Normal"/>
    <w:qFormat/>
    <w:rsid w:val="00AB70DC"/>
    <w:pPr>
      <w:numPr>
        <w:ilvl w:val="3"/>
        <w:numId w:val="2"/>
      </w:numPr>
      <w:tabs>
        <w:tab w:val="left" w:pos="1134"/>
      </w:tabs>
      <w:spacing w:after="240"/>
    </w:pPr>
    <w:rPr>
      <w:rFonts w:eastAsia="Calibri" w:cs="Arial"/>
    </w:rPr>
  </w:style>
  <w:style w:type="paragraph" w:customStyle="1" w:styleId="PolLevel3">
    <w:name w:val="Pol Level 3"/>
    <w:basedOn w:val="PolLevel4"/>
    <w:qFormat/>
    <w:rsid w:val="00AB70DC"/>
    <w:pPr>
      <w:numPr>
        <w:ilvl w:val="2"/>
      </w:numPr>
    </w:pPr>
  </w:style>
  <w:style w:type="paragraph" w:customStyle="1" w:styleId="PolLevel2">
    <w:name w:val="Pol Level 2"/>
    <w:basedOn w:val="Normal"/>
    <w:link w:val="PolLevel2Char"/>
    <w:qFormat/>
    <w:rsid w:val="00AB70DC"/>
    <w:pPr>
      <w:numPr>
        <w:ilvl w:val="1"/>
        <w:numId w:val="2"/>
      </w:numPr>
      <w:spacing w:after="240"/>
    </w:pPr>
    <w:rPr>
      <w:rFonts w:eastAsia="Calibri"/>
    </w:rPr>
  </w:style>
  <w:style w:type="character" w:customStyle="1" w:styleId="PolLevel2Char">
    <w:name w:val="Pol Level 2 Char"/>
    <w:link w:val="PolLevel2"/>
    <w:rsid w:val="00AB70DC"/>
    <w:rPr>
      <w:rFonts w:ascii="Arial" w:eastAsia="Calibri" w:hAnsi="Arial"/>
      <w:sz w:val="24"/>
      <w:lang w:eastAsia="en-US"/>
    </w:rPr>
  </w:style>
  <w:style w:type="table" w:styleId="TableGrid">
    <w:name w:val="Table Grid"/>
    <w:basedOn w:val="TableNormal"/>
    <w:uiPriority w:val="59"/>
    <w:rsid w:val="001B16A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rsid w:val="00003A66"/>
    <w:pPr>
      <w:ind w:left="240"/>
    </w:pPr>
  </w:style>
  <w:style w:type="paragraph" w:customStyle="1" w:styleId="Default">
    <w:name w:val="Default"/>
    <w:rsid w:val="00951164"/>
    <w:pPr>
      <w:autoSpaceDE w:val="0"/>
      <w:autoSpaceDN w:val="0"/>
      <w:adjustRightInd w:val="0"/>
    </w:pPr>
    <w:rPr>
      <w:color w:val="000000"/>
      <w:sz w:val="24"/>
      <w:szCs w:val="24"/>
    </w:rPr>
  </w:style>
  <w:style w:type="character" w:styleId="FollowedHyperlink">
    <w:name w:val="FollowedHyperlink"/>
    <w:basedOn w:val="DefaultParagraphFont"/>
    <w:semiHidden/>
    <w:unhideWhenUsed/>
    <w:rsid w:val="006C6E14"/>
    <w:rPr>
      <w:color w:val="800080" w:themeColor="followedHyperlink"/>
      <w:u w:val="single"/>
    </w:rPr>
  </w:style>
  <w:style w:type="paragraph" w:styleId="NormalWeb">
    <w:name w:val="Normal (Web)"/>
    <w:basedOn w:val="Normal"/>
    <w:uiPriority w:val="99"/>
    <w:unhideWhenUsed/>
    <w:rsid w:val="00FE63E8"/>
    <w:pPr>
      <w:spacing w:before="100" w:beforeAutospacing="1" w:after="100" w:afterAutospacing="1"/>
    </w:pPr>
    <w:rPr>
      <w:rFonts w:ascii="Times New Roman" w:hAnsi="Times New Roman"/>
      <w:szCs w:val="24"/>
      <w:lang w:eastAsia="en-GB"/>
    </w:rPr>
  </w:style>
  <w:style w:type="paragraph" w:styleId="NoSpacing">
    <w:name w:val="No Spacing"/>
    <w:uiPriority w:val="1"/>
    <w:qFormat/>
    <w:rsid w:val="00606569"/>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59"/>
    <w:rsid w:val="00B9329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3DE2"/>
    <w:pPr>
      <w:keepLines/>
      <w:spacing w:after="0" w:line="259" w:lineRule="auto"/>
      <w:ind w:left="0" w:firstLine="0"/>
      <w:outlineLvl w:val="9"/>
    </w:pPr>
    <w:rPr>
      <w:rFonts w:asciiTheme="majorHAnsi" w:eastAsiaTheme="majorEastAsia" w:hAnsiTheme="majorHAnsi" w:cstheme="majorBidi"/>
      <w:bCs w:val="0"/>
      <w:color w:val="365F91" w:themeColor="accent1" w:themeShade="BF"/>
      <w:kern w:val="0"/>
      <w:sz w:val="32"/>
      <w:lang w:val="en-US"/>
    </w:rPr>
  </w:style>
  <w:style w:type="character" w:styleId="UnresolvedMention">
    <w:name w:val="Unresolved Mention"/>
    <w:basedOn w:val="DefaultParagraphFont"/>
    <w:uiPriority w:val="99"/>
    <w:semiHidden/>
    <w:unhideWhenUsed/>
    <w:rsid w:val="007337AA"/>
    <w:rPr>
      <w:color w:val="605E5C"/>
      <w:shd w:val="clear" w:color="auto" w:fill="E1DFDD"/>
    </w:rPr>
  </w:style>
  <w:style w:type="character" w:customStyle="1" w:styleId="HeaderChar">
    <w:name w:val="Header Char"/>
    <w:basedOn w:val="DefaultParagraphFont"/>
    <w:link w:val="Header"/>
    <w:uiPriority w:val="99"/>
    <w:rsid w:val="0028099B"/>
    <w:rPr>
      <w:rFonts w:ascii="Arial" w:hAnsi="Arial"/>
      <w:sz w:val="24"/>
      <w:lang w:eastAsia="en-US"/>
    </w:rPr>
  </w:style>
  <w:style w:type="character" w:customStyle="1" w:styleId="FooterChar">
    <w:name w:val="Footer Char"/>
    <w:basedOn w:val="DefaultParagraphFont"/>
    <w:link w:val="Footer"/>
    <w:uiPriority w:val="99"/>
    <w:rsid w:val="0028099B"/>
    <w:rPr>
      <w:rFonts w:ascii="Arial" w:hAnsi="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30642">
      <w:bodyDiv w:val="1"/>
      <w:marLeft w:val="0"/>
      <w:marRight w:val="0"/>
      <w:marTop w:val="0"/>
      <w:marBottom w:val="0"/>
      <w:divBdr>
        <w:top w:val="none" w:sz="0" w:space="0" w:color="auto"/>
        <w:left w:val="none" w:sz="0" w:space="0" w:color="auto"/>
        <w:bottom w:val="none" w:sz="0" w:space="0" w:color="auto"/>
        <w:right w:val="none" w:sz="0" w:space="0" w:color="auto"/>
      </w:divBdr>
    </w:div>
    <w:div w:id="337394769">
      <w:bodyDiv w:val="1"/>
      <w:marLeft w:val="0"/>
      <w:marRight w:val="0"/>
      <w:marTop w:val="0"/>
      <w:marBottom w:val="0"/>
      <w:divBdr>
        <w:top w:val="none" w:sz="0" w:space="0" w:color="auto"/>
        <w:left w:val="none" w:sz="0" w:space="0" w:color="auto"/>
        <w:bottom w:val="none" w:sz="0" w:space="0" w:color="auto"/>
        <w:right w:val="none" w:sz="0" w:space="0" w:color="auto"/>
      </w:divBdr>
    </w:div>
    <w:div w:id="378863832">
      <w:bodyDiv w:val="1"/>
      <w:marLeft w:val="0"/>
      <w:marRight w:val="0"/>
      <w:marTop w:val="0"/>
      <w:marBottom w:val="0"/>
      <w:divBdr>
        <w:top w:val="none" w:sz="0" w:space="0" w:color="auto"/>
        <w:left w:val="none" w:sz="0" w:space="0" w:color="auto"/>
        <w:bottom w:val="none" w:sz="0" w:space="0" w:color="auto"/>
        <w:right w:val="none" w:sz="0" w:space="0" w:color="auto"/>
      </w:divBdr>
    </w:div>
    <w:div w:id="564953023">
      <w:bodyDiv w:val="1"/>
      <w:marLeft w:val="0"/>
      <w:marRight w:val="0"/>
      <w:marTop w:val="0"/>
      <w:marBottom w:val="0"/>
      <w:divBdr>
        <w:top w:val="none" w:sz="0" w:space="0" w:color="auto"/>
        <w:left w:val="none" w:sz="0" w:space="0" w:color="auto"/>
        <w:bottom w:val="none" w:sz="0" w:space="0" w:color="auto"/>
        <w:right w:val="none" w:sz="0" w:space="0" w:color="auto"/>
      </w:divBdr>
    </w:div>
    <w:div w:id="601687077">
      <w:bodyDiv w:val="1"/>
      <w:marLeft w:val="0"/>
      <w:marRight w:val="0"/>
      <w:marTop w:val="0"/>
      <w:marBottom w:val="0"/>
      <w:divBdr>
        <w:top w:val="none" w:sz="0" w:space="0" w:color="auto"/>
        <w:left w:val="none" w:sz="0" w:space="0" w:color="auto"/>
        <w:bottom w:val="none" w:sz="0" w:space="0" w:color="auto"/>
        <w:right w:val="none" w:sz="0" w:space="0" w:color="auto"/>
      </w:divBdr>
    </w:div>
    <w:div w:id="700666749">
      <w:bodyDiv w:val="1"/>
      <w:marLeft w:val="0"/>
      <w:marRight w:val="0"/>
      <w:marTop w:val="0"/>
      <w:marBottom w:val="0"/>
      <w:divBdr>
        <w:top w:val="none" w:sz="0" w:space="0" w:color="auto"/>
        <w:left w:val="none" w:sz="0" w:space="0" w:color="auto"/>
        <w:bottom w:val="none" w:sz="0" w:space="0" w:color="auto"/>
        <w:right w:val="none" w:sz="0" w:space="0" w:color="auto"/>
      </w:divBdr>
    </w:div>
    <w:div w:id="718626677">
      <w:bodyDiv w:val="1"/>
      <w:marLeft w:val="0"/>
      <w:marRight w:val="0"/>
      <w:marTop w:val="0"/>
      <w:marBottom w:val="0"/>
      <w:divBdr>
        <w:top w:val="none" w:sz="0" w:space="0" w:color="auto"/>
        <w:left w:val="none" w:sz="0" w:space="0" w:color="auto"/>
        <w:bottom w:val="none" w:sz="0" w:space="0" w:color="auto"/>
        <w:right w:val="none" w:sz="0" w:space="0" w:color="auto"/>
      </w:divBdr>
    </w:div>
    <w:div w:id="867330412">
      <w:bodyDiv w:val="1"/>
      <w:marLeft w:val="0"/>
      <w:marRight w:val="0"/>
      <w:marTop w:val="0"/>
      <w:marBottom w:val="0"/>
      <w:divBdr>
        <w:top w:val="none" w:sz="0" w:space="0" w:color="auto"/>
        <w:left w:val="none" w:sz="0" w:space="0" w:color="auto"/>
        <w:bottom w:val="none" w:sz="0" w:space="0" w:color="auto"/>
        <w:right w:val="none" w:sz="0" w:space="0" w:color="auto"/>
      </w:divBdr>
    </w:div>
    <w:div w:id="874850769">
      <w:bodyDiv w:val="1"/>
      <w:marLeft w:val="0"/>
      <w:marRight w:val="0"/>
      <w:marTop w:val="0"/>
      <w:marBottom w:val="0"/>
      <w:divBdr>
        <w:top w:val="none" w:sz="0" w:space="0" w:color="auto"/>
        <w:left w:val="none" w:sz="0" w:space="0" w:color="auto"/>
        <w:bottom w:val="none" w:sz="0" w:space="0" w:color="auto"/>
        <w:right w:val="none" w:sz="0" w:space="0" w:color="auto"/>
      </w:divBdr>
    </w:div>
    <w:div w:id="1039477508">
      <w:bodyDiv w:val="1"/>
      <w:marLeft w:val="0"/>
      <w:marRight w:val="0"/>
      <w:marTop w:val="0"/>
      <w:marBottom w:val="0"/>
      <w:divBdr>
        <w:top w:val="none" w:sz="0" w:space="0" w:color="auto"/>
        <w:left w:val="none" w:sz="0" w:space="0" w:color="auto"/>
        <w:bottom w:val="none" w:sz="0" w:space="0" w:color="auto"/>
        <w:right w:val="none" w:sz="0" w:space="0" w:color="auto"/>
      </w:divBdr>
    </w:div>
    <w:div w:id="1081175709">
      <w:bodyDiv w:val="1"/>
      <w:marLeft w:val="0"/>
      <w:marRight w:val="0"/>
      <w:marTop w:val="0"/>
      <w:marBottom w:val="0"/>
      <w:divBdr>
        <w:top w:val="none" w:sz="0" w:space="0" w:color="auto"/>
        <w:left w:val="none" w:sz="0" w:space="0" w:color="auto"/>
        <w:bottom w:val="none" w:sz="0" w:space="0" w:color="auto"/>
        <w:right w:val="none" w:sz="0" w:space="0" w:color="auto"/>
      </w:divBdr>
    </w:div>
    <w:div w:id="1111049956">
      <w:bodyDiv w:val="1"/>
      <w:marLeft w:val="0"/>
      <w:marRight w:val="0"/>
      <w:marTop w:val="0"/>
      <w:marBottom w:val="0"/>
      <w:divBdr>
        <w:top w:val="none" w:sz="0" w:space="0" w:color="auto"/>
        <w:left w:val="none" w:sz="0" w:space="0" w:color="auto"/>
        <w:bottom w:val="none" w:sz="0" w:space="0" w:color="auto"/>
        <w:right w:val="none" w:sz="0" w:space="0" w:color="auto"/>
      </w:divBdr>
    </w:div>
    <w:div w:id="1134101035">
      <w:bodyDiv w:val="1"/>
      <w:marLeft w:val="0"/>
      <w:marRight w:val="0"/>
      <w:marTop w:val="0"/>
      <w:marBottom w:val="0"/>
      <w:divBdr>
        <w:top w:val="none" w:sz="0" w:space="0" w:color="auto"/>
        <w:left w:val="none" w:sz="0" w:space="0" w:color="auto"/>
        <w:bottom w:val="none" w:sz="0" w:space="0" w:color="auto"/>
        <w:right w:val="none" w:sz="0" w:space="0" w:color="auto"/>
      </w:divBdr>
    </w:div>
    <w:div w:id="1275407529">
      <w:bodyDiv w:val="1"/>
      <w:marLeft w:val="0"/>
      <w:marRight w:val="0"/>
      <w:marTop w:val="0"/>
      <w:marBottom w:val="0"/>
      <w:divBdr>
        <w:top w:val="none" w:sz="0" w:space="0" w:color="auto"/>
        <w:left w:val="none" w:sz="0" w:space="0" w:color="auto"/>
        <w:bottom w:val="none" w:sz="0" w:space="0" w:color="auto"/>
        <w:right w:val="none" w:sz="0" w:space="0" w:color="auto"/>
      </w:divBdr>
    </w:div>
    <w:div w:id="1397826254">
      <w:bodyDiv w:val="1"/>
      <w:marLeft w:val="0"/>
      <w:marRight w:val="0"/>
      <w:marTop w:val="0"/>
      <w:marBottom w:val="0"/>
      <w:divBdr>
        <w:top w:val="none" w:sz="0" w:space="0" w:color="auto"/>
        <w:left w:val="none" w:sz="0" w:space="0" w:color="auto"/>
        <w:bottom w:val="none" w:sz="0" w:space="0" w:color="auto"/>
        <w:right w:val="none" w:sz="0" w:space="0" w:color="auto"/>
      </w:divBdr>
    </w:div>
    <w:div w:id="1524510557">
      <w:bodyDiv w:val="1"/>
      <w:marLeft w:val="0"/>
      <w:marRight w:val="0"/>
      <w:marTop w:val="0"/>
      <w:marBottom w:val="0"/>
      <w:divBdr>
        <w:top w:val="none" w:sz="0" w:space="0" w:color="auto"/>
        <w:left w:val="none" w:sz="0" w:space="0" w:color="auto"/>
        <w:bottom w:val="none" w:sz="0" w:space="0" w:color="auto"/>
        <w:right w:val="none" w:sz="0" w:space="0" w:color="auto"/>
      </w:divBdr>
    </w:div>
    <w:div w:id="1864898714">
      <w:bodyDiv w:val="1"/>
      <w:marLeft w:val="0"/>
      <w:marRight w:val="0"/>
      <w:marTop w:val="0"/>
      <w:marBottom w:val="0"/>
      <w:divBdr>
        <w:top w:val="none" w:sz="0" w:space="0" w:color="auto"/>
        <w:left w:val="none" w:sz="0" w:space="0" w:color="auto"/>
        <w:bottom w:val="none" w:sz="0" w:space="0" w:color="auto"/>
        <w:right w:val="none" w:sz="0" w:space="0" w:color="auto"/>
      </w:divBdr>
    </w:div>
    <w:div w:id="1884713488">
      <w:bodyDiv w:val="1"/>
      <w:marLeft w:val="0"/>
      <w:marRight w:val="0"/>
      <w:marTop w:val="0"/>
      <w:marBottom w:val="0"/>
      <w:divBdr>
        <w:top w:val="none" w:sz="0" w:space="0" w:color="auto"/>
        <w:left w:val="none" w:sz="0" w:space="0" w:color="auto"/>
        <w:bottom w:val="none" w:sz="0" w:space="0" w:color="auto"/>
        <w:right w:val="none" w:sz="0" w:space="0" w:color="auto"/>
      </w:divBdr>
    </w:div>
    <w:div w:id="204697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camb.sharepoint.com/sites/Intranet-Policies-and-Procedures/SitePages/Anti-Fraud-and-Bribery-Policy.aspx"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amb.sharepoint.com/sites/Intranet-Policies-and-Procedures/SitePages/Overtime-Policy.asp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camb.sharepoint.com/sites/Intranet-Policies-and-Procedur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semployers.org/publications/tchandbook" TargetMode="External"/><Relationship Id="rId5" Type="http://schemas.openxmlformats.org/officeDocument/2006/relationships/numbering" Target="numbering.xml"/><Relationship Id="rId15" Type="http://schemas.openxmlformats.org/officeDocument/2006/relationships/hyperlink" Target="https://secamb.sharepoint.com/sites/Intranet-Policies-and-Procedures/SitePages/Capability-Poli.asp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camb.sharepoint.com/sites/Intranet-Policies-and-Procedures/SitePages/Declaration-of-Interests,-Gifts,-Hospitality-and-Inducements-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SharedWithUsers xmlns="8947a1a1-11e5-4c67-8c8d-1d5d500757fd">
      <UserInfo>
        <DisplayName>Peter Lee</DisplayName>
        <AccountId>14</AccountId>
        <AccountType/>
      </UserInfo>
    </SharedWithUsers>
    <lcf76f155ced4ddcb4097134ff3c332f xmlns="aede05c1-4e65-4c98-820f-ccc718a23a3a">
      <Terms xmlns="http://schemas.microsoft.com/office/infopath/2007/PartnerControls"/>
    </lcf76f155ced4ddcb4097134ff3c332f>
    <TaxCatchAll xmlns="8947a1a1-11e5-4c67-8c8d-1d5d500757f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51D3FF2E8B1344E8FCA33E8D6430152" ma:contentTypeVersion="16" ma:contentTypeDescription="Create a new document." ma:contentTypeScope="" ma:versionID="04d69f8f8d8b8bf056a455643dfe83a4">
  <xsd:schema xmlns:xsd="http://www.w3.org/2001/XMLSchema" xmlns:xs="http://www.w3.org/2001/XMLSchema" xmlns:p="http://schemas.microsoft.com/office/2006/metadata/properties" xmlns:ns2="aede05c1-4e65-4c98-820f-ccc718a23a3a" xmlns:ns3="8947a1a1-11e5-4c67-8c8d-1d5d500757fd" targetNamespace="http://schemas.microsoft.com/office/2006/metadata/properties" ma:root="true" ma:fieldsID="488c4e32cd29ae36a39d45b82466578b" ns2:_="" ns3:_="">
    <xsd:import namespace="aede05c1-4e65-4c98-820f-ccc718a23a3a"/>
    <xsd:import namespace="8947a1a1-11e5-4c67-8c8d-1d5d500757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e05c1-4e65-4c98-820f-ccc718a23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11371ab-f166-41a8-b4bb-b296f8227402"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7a1a1-11e5-4c67-8c8d-1d5d500757f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9e054dd-ce45-4fd0-af4c-444ead563185}" ma:internalName="TaxCatchAll" ma:showField="CatchAllData" ma:web="8947a1a1-11e5-4c67-8c8d-1d5d500757f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6BE5B-16C0-4573-8471-D229E1C81BB7}">
  <ds:schemaRefs>
    <ds:schemaRef ds:uri="http://schemas.microsoft.com/sharepoint/v3/contenttype/forms"/>
  </ds:schemaRefs>
</ds:datastoreItem>
</file>

<file path=customXml/itemProps2.xml><?xml version="1.0" encoding="utf-8"?>
<ds:datastoreItem xmlns:ds="http://schemas.openxmlformats.org/officeDocument/2006/customXml" ds:itemID="{41F5E13E-607B-4DEB-B678-FAB018A8726D}">
  <ds:schemaRefs>
    <ds:schemaRef ds:uri="http://schemas.openxmlformats.org/officeDocument/2006/bibliography"/>
  </ds:schemaRefs>
</ds:datastoreItem>
</file>

<file path=customXml/itemProps3.xml><?xml version="1.0" encoding="utf-8"?>
<ds:datastoreItem xmlns:ds="http://schemas.openxmlformats.org/officeDocument/2006/customXml" ds:itemID="{0A3FC709-07D5-4752-ADC1-418D951128DE}">
  <ds:schemaRefs>
    <ds:schemaRef ds:uri="http://purl.org/dc/dcmitype/"/>
    <ds:schemaRef ds:uri="http://schemas.openxmlformats.org/package/2006/metadata/core-properties"/>
    <ds:schemaRef ds:uri="0b0e459f-e013-4618-a992-ef2a5ceba81f"/>
    <ds:schemaRef ds:uri="http://purl.org/dc/elements/1.1/"/>
    <ds:schemaRef ds:uri="d660ec31-0c60-482c-b298-c899826a291b"/>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A59A3E58-81A9-4A8F-B651-F5EF8BD9D97D}"/>
</file>

<file path=docProps/app.xml><?xml version="1.0" encoding="utf-8"?>
<Properties xmlns="http://schemas.openxmlformats.org/officeDocument/2006/extended-properties" xmlns:vt="http://schemas.openxmlformats.org/officeDocument/2006/docPropsVTypes">
  <Template>Normal</Template>
  <TotalTime>0</TotalTime>
  <Pages>8</Pages>
  <Words>1967</Words>
  <Characters>10623</Characters>
  <Application>Microsoft Office Word</Application>
  <DocSecurity>0</DocSecurity>
  <Lines>393</Lines>
  <Paragraphs>170</Paragraphs>
  <ScaleCrop>false</ScaleCrop>
  <HeadingPairs>
    <vt:vector size="2" baseType="variant">
      <vt:variant>
        <vt:lpstr>Title</vt:lpstr>
      </vt:variant>
      <vt:variant>
        <vt:i4>1</vt:i4>
      </vt:variant>
    </vt:vector>
  </HeadingPairs>
  <TitlesOfParts>
    <vt:vector size="1" baseType="lpstr">
      <vt:lpstr>Policy Template V6 00</vt:lpstr>
    </vt:vector>
  </TitlesOfParts>
  <Company>SECAMB</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 V6 00</dc:title>
  <dc:creator>saz</dc:creator>
  <cp:lastModifiedBy>Juliana Umoh</cp:lastModifiedBy>
  <cp:revision>2</cp:revision>
  <cp:lastPrinted>2018-07-23T09:29:00Z</cp:lastPrinted>
  <dcterms:created xsi:type="dcterms:W3CDTF">2026-02-25T11:08:00Z</dcterms:created>
  <dcterms:modified xsi:type="dcterms:W3CDTF">2026-02-25T11:08:00Z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Order">
    <vt:r8>776100</vt:r8>
  </property>
  <property fmtid="{D5CDD505-2E9C-101B-9397-08002B2CF9AE}" pid="4" name="xd_Signature">
    <vt:bool>false</vt:bool>
  </property>
  <property fmtid="{D5CDD505-2E9C-101B-9397-08002B2CF9AE}" pid="5" name="SharedWithUsers">
    <vt:lpwstr>17;#Karen Lavender</vt:lpwstr>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ContentTypeId">
    <vt:lpwstr>0x010100E51D3FF2E8B1344E8FCA33E8D6430152</vt:lpwstr>
  </property>
  <property fmtid="{D5CDD505-2E9C-101B-9397-08002B2CF9AE}" pid="12" name="_SourceUrl">
    <vt:lpwstr/>
  </property>
  <property fmtid="{D5CDD505-2E9C-101B-9397-08002B2CF9AE}" pid="13" name="_SharedFileIndex">
    <vt:lpwstr/>
  </property>
</Properties>
</file>