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25FD" w14:textId="77777777" w:rsidR="00ED0BD0" w:rsidRDefault="00ED0BD0" w:rsidP="0050716E">
      <w:pPr>
        <w:tabs>
          <w:tab w:val="left" w:pos="1162"/>
        </w:tabs>
        <w:ind w:left="1162" w:hanging="1162"/>
        <w:rPr>
          <w:rFonts w:cs="Arial"/>
          <w:szCs w:val="24"/>
        </w:rPr>
      </w:pPr>
    </w:p>
    <w:p w14:paraId="7E8525FE" w14:textId="77777777" w:rsidR="00ED0BD0" w:rsidRDefault="00ED0BD0" w:rsidP="0050716E">
      <w:pPr>
        <w:tabs>
          <w:tab w:val="left" w:pos="1162"/>
        </w:tabs>
        <w:ind w:left="1162" w:hanging="1162"/>
        <w:rPr>
          <w:rFonts w:cs="Arial"/>
          <w:szCs w:val="24"/>
        </w:rPr>
      </w:pPr>
    </w:p>
    <w:p w14:paraId="7E8525FF" w14:textId="77777777" w:rsidR="00ED0BD0" w:rsidRDefault="00ED0BD0" w:rsidP="0050716E">
      <w:pPr>
        <w:tabs>
          <w:tab w:val="left" w:pos="1162"/>
        </w:tabs>
        <w:ind w:left="1162" w:hanging="1162"/>
        <w:rPr>
          <w:rFonts w:cs="Arial"/>
          <w:szCs w:val="24"/>
        </w:rPr>
      </w:pPr>
    </w:p>
    <w:p w14:paraId="7E852600" w14:textId="77777777" w:rsidR="00ED0BD0" w:rsidRDefault="00ED0BD0" w:rsidP="0050716E">
      <w:pPr>
        <w:tabs>
          <w:tab w:val="left" w:pos="1162"/>
        </w:tabs>
        <w:ind w:left="1162" w:hanging="1162"/>
        <w:rPr>
          <w:rFonts w:cs="Arial"/>
          <w:szCs w:val="24"/>
        </w:rPr>
      </w:pPr>
    </w:p>
    <w:p w14:paraId="7E852601" w14:textId="77777777" w:rsidR="00ED0BD0" w:rsidRDefault="00ED0BD0" w:rsidP="0050716E">
      <w:pPr>
        <w:tabs>
          <w:tab w:val="left" w:pos="1162"/>
        </w:tabs>
        <w:ind w:left="1162" w:hanging="1162"/>
        <w:rPr>
          <w:rFonts w:cs="Arial"/>
          <w:szCs w:val="24"/>
        </w:rPr>
      </w:pPr>
    </w:p>
    <w:p w14:paraId="7E852602" w14:textId="77777777" w:rsidR="00ED0BD0" w:rsidRDefault="00ED0BD0" w:rsidP="0050716E">
      <w:pPr>
        <w:tabs>
          <w:tab w:val="left" w:pos="1162"/>
        </w:tabs>
        <w:ind w:left="1162" w:hanging="1162"/>
        <w:rPr>
          <w:rFonts w:cs="Arial"/>
          <w:szCs w:val="24"/>
        </w:rPr>
      </w:pPr>
    </w:p>
    <w:p w14:paraId="7E852603" w14:textId="77777777" w:rsidR="00ED0BD0" w:rsidRDefault="00ED0BD0" w:rsidP="0050716E">
      <w:pPr>
        <w:tabs>
          <w:tab w:val="left" w:pos="1162"/>
        </w:tabs>
        <w:ind w:left="1162" w:hanging="1162"/>
        <w:rPr>
          <w:rFonts w:cs="Arial"/>
          <w:szCs w:val="24"/>
        </w:rPr>
      </w:pPr>
    </w:p>
    <w:p w14:paraId="7E852604" w14:textId="77777777" w:rsidR="00ED0BD0" w:rsidRDefault="00ED0BD0" w:rsidP="0050716E">
      <w:pPr>
        <w:tabs>
          <w:tab w:val="left" w:pos="1162"/>
        </w:tabs>
        <w:ind w:left="1162" w:hanging="1162"/>
        <w:rPr>
          <w:rFonts w:cs="Arial"/>
          <w:szCs w:val="24"/>
        </w:rPr>
      </w:pPr>
    </w:p>
    <w:p w14:paraId="7E852605" w14:textId="77777777" w:rsidR="00ED0BD0" w:rsidRDefault="00ED0BD0" w:rsidP="0050716E">
      <w:pPr>
        <w:tabs>
          <w:tab w:val="left" w:pos="1162"/>
        </w:tabs>
        <w:ind w:left="1162" w:hanging="1162"/>
        <w:rPr>
          <w:rFonts w:cs="Arial"/>
          <w:szCs w:val="24"/>
        </w:rPr>
      </w:pPr>
    </w:p>
    <w:p w14:paraId="7E852607" w14:textId="77777777" w:rsidR="00ED0BD0" w:rsidRDefault="00ED0BD0" w:rsidP="0050716E">
      <w:pPr>
        <w:tabs>
          <w:tab w:val="left" w:pos="1162"/>
        </w:tabs>
        <w:ind w:left="1162" w:hanging="1162"/>
        <w:rPr>
          <w:rFonts w:cs="Arial"/>
          <w:szCs w:val="24"/>
        </w:rPr>
      </w:pPr>
    </w:p>
    <w:p w14:paraId="7E852608" w14:textId="77777777" w:rsidR="00ED0BD0" w:rsidRDefault="00ED0BD0" w:rsidP="0050716E">
      <w:pPr>
        <w:tabs>
          <w:tab w:val="left" w:pos="1162"/>
        </w:tabs>
        <w:ind w:left="1162" w:hanging="1162"/>
        <w:rPr>
          <w:rFonts w:cs="Arial"/>
          <w:szCs w:val="24"/>
        </w:rPr>
      </w:pPr>
    </w:p>
    <w:p w14:paraId="7E852609" w14:textId="77777777" w:rsidR="00ED0BD0" w:rsidRDefault="00ED0BD0" w:rsidP="0050716E">
      <w:pPr>
        <w:tabs>
          <w:tab w:val="left" w:pos="1162"/>
        </w:tabs>
        <w:ind w:left="1162" w:hanging="1162"/>
        <w:rPr>
          <w:rFonts w:cs="Arial"/>
          <w:szCs w:val="24"/>
        </w:rPr>
      </w:pPr>
    </w:p>
    <w:p w14:paraId="7E85260A" w14:textId="77777777" w:rsidR="00ED0BD0" w:rsidRDefault="00ED0BD0" w:rsidP="0050716E">
      <w:pPr>
        <w:tabs>
          <w:tab w:val="left" w:pos="1162"/>
        </w:tabs>
        <w:ind w:left="1162" w:hanging="1162"/>
        <w:rPr>
          <w:rFonts w:cs="Arial"/>
          <w:szCs w:val="24"/>
        </w:rPr>
      </w:pPr>
    </w:p>
    <w:p w14:paraId="7E85260B" w14:textId="77777777" w:rsidR="00ED0BD0" w:rsidRDefault="00ED0BD0" w:rsidP="0050716E">
      <w:pPr>
        <w:tabs>
          <w:tab w:val="left" w:pos="1162"/>
        </w:tabs>
        <w:ind w:left="1162" w:hanging="1162"/>
        <w:rPr>
          <w:rFonts w:cs="Arial"/>
          <w:szCs w:val="24"/>
        </w:rPr>
      </w:pPr>
    </w:p>
    <w:p w14:paraId="7E85260C" w14:textId="77777777" w:rsidR="00ED0BD0" w:rsidRPr="008A0D24" w:rsidRDefault="00645D71" w:rsidP="0050716E">
      <w:pPr>
        <w:tabs>
          <w:tab w:val="left" w:pos="1162"/>
        </w:tabs>
        <w:ind w:left="1162" w:hanging="1162"/>
        <w:jc w:val="center"/>
        <w:rPr>
          <w:rFonts w:cs="Arial"/>
          <w:b/>
          <w:sz w:val="32"/>
          <w:szCs w:val="32"/>
        </w:rPr>
      </w:pPr>
      <w:r>
        <w:rPr>
          <w:rFonts w:cs="Arial"/>
          <w:b/>
          <w:sz w:val="32"/>
          <w:szCs w:val="32"/>
        </w:rPr>
        <w:t>Data Protection Policy</w:t>
      </w:r>
    </w:p>
    <w:p w14:paraId="7E85260D" w14:textId="77777777" w:rsidR="00ED0BD0" w:rsidRPr="0088232E" w:rsidRDefault="00ED0BD0" w:rsidP="0050716E">
      <w:pPr>
        <w:tabs>
          <w:tab w:val="left" w:pos="1162"/>
        </w:tabs>
        <w:ind w:left="1162" w:hanging="1162"/>
        <w:rPr>
          <w:rFonts w:cs="Arial"/>
          <w:szCs w:val="24"/>
        </w:rPr>
      </w:pPr>
    </w:p>
    <w:p w14:paraId="7E85260E" w14:textId="77777777" w:rsidR="00ED0BD0" w:rsidRPr="0088232E" w:rsidRDefault="00ED0BD0" w:rsidP="0050716E">
      <w:pPr>
        <w:tabs>
          <w:tab w:val="left" w:pos="1162"/>
        </w:tabs>
        <w:ind w:left="1162" w:hanging="1162"/>
        <w:rPr>
          <w:rFonts w:cs="Arial"/>
          <w:szCs w:val="24"/>
        </w:rPr>
      </w:pPr>
    </w:p>
    <w:p w14:paraId="7E85260F" w14:textId="77777777" w:rsidR="00ED0BD0" w:rsidRPr="0088232E" w:rsidRDefault="00ED0BD0" w:rsidP="0050716E">
      <w:pPr>
        <w:tabs>
          <w:tab w:val="left" w:pos="1162"/>
        </w:tabs>
        <w:ind w:left="1162" w:hanging="1162"/>
        <w:rPr>
          <w:rFonts w:cs="Arial"/>
          <w:szCs w:val="24"/>
        </w:rPr>
      </w:pPr>
    </w:p>
    <w:p w14:paraId="7E852610" w14:textId="77777777" w:rsidR="00ED0BD0" w:rsidRPr="0088232E" w:rsidRDefault="00ED0BD0" w:rsidP="0050716E">
      <w:pPr>
        <w:tabs>
          <w:tab w:val="left" w:pos="1162"/>
        </w:tabs>
        <w:ind w:left="1162" w:hanging="1162"/>
        <w:rPr>
          <w:rFonts w:cs="Arial"/>
          <w:szCs w:val="24"/>
        </w:rPr>
      </w:pPr>
    </w:p>
    <w:p w14:paraId="7E852611" w14:textId="77777777" w:rsidR="00ED0BD0" w:rsidRPr="0088232E" w:rsidRDefault="00ED0BD0" w:rsidP="0050716E">
      <w:pPr>
        <w:tabs>
          <w:tab w:val="left" w:pos="1162"/>
        </w:tabs>
        <w:ind w:left="1162" w:hanging="1162"/>
        <w:rPr>
          <w:rFonts w:cs="Arial"/>
          <w:szCs w:val="24"/>
        </w:rPr>
      </w:pPr>
    </w:p>
    <w:p w14:paraId="7E852612" w14:textId="77777777" w:rsidR="00ED0BD0" w:rsidRPr="0088232E" w:rsidRDefault="00ED0BD0" w:rsidP="0050716E">
      <w:pPr>
        <w:tabs>
          <w:tab w:val="left" w:pos="1162"/>
        </w:tabs>
        <w:ind w:left="1162" w:hanging="1162"/>
        <w:rPr>
          <w:rFonts w:cs="Arial"/>
          <w:szCs w:val="24"/>
        </w:rPr>
      </w:pPr>
    </w:p>
    <w:p w14:paraId="7E85261E" w14:textId="77777777" w:rsidR="00C05D9B" w:rsidRDefault="00C05D9B" w:rsidP="0050716E">
      <w:pPr>
        <w:tabs>
          <w:tab w:val="left" w:pos="1162"/>
        </w:tabs>
        <w:ind w:left="1162" w:hanging="1162"/>
        <w:rPr>
          <w:rFonts w:cs="Arial"/>
          <w:szCs w:val="24"/>
        </w:rPr>
      </w:pPr>
    </w:p>
    <w:p w14:paraId="7E85263F" w14:textId="77777777" w:rsidR="00917037" w:rsidRPr="0088232E" w:rsidRDefault="00917037" w:rsidP="00ED0BD0">
      <w:pPr>
        <w:rPr>
          <w:rFonts w:cs="Arial"/>
          <w:szCs w:val="24"/>
        </w:rPr>
        <w:sectPr w:rsidR="00917037" w:rsidRPr="0088232E" w:rsidSect="00ED0BD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p w14:paraId="7E8526CC" w14:textId="77777777" w:rsidR="00ED0BD0" w:rsidRPr="00A3334D" w:rsidRDefault="00ED0BD0" w:rsidP="00645D71">
      <w:pPr>
        <w:keepNext/>
        <w:keepLines/>
        <w:rPr>
          <w:rFonts w:cs="Arial"/>
          <w:b/>
          <w:szCs w:val="24"/>
        </w:rPr>
      </w:pPr>
      <w:r>
        <w:rPr>
          <w:rFonts w:cs="Arial"/>
          <w:szCs w:val="24"/>
        </w:rPr>
        <w:lastRenderedPageBreak/>
        <w:br w:type="page"/>
      </w:r>
      <w:r w:rsidRPr="00A3334D">
        <w:rPr>
          <w:rFonts w:cs="Arial"/>
          <w:b/>
          <w:szCs w:val="24"/>
        </w:rPr>
        <w:t>Contents</w:t>
      </w:r>
    </w:p>
    <w:p w14:paraId="7E8526CD" w14:textId="77777777" w:rsidR="00ED0BD0" w:rsidRDefault="00ED0BD0" w:rsidP="00ED0BD0">
      <w:pPr>
        <w:rPr>
          <w:rFonts w:cs="Arial"/>
          <w:szCs w:val="24"/>
        </w:rPr>
      </w:pPr>
    </w:p>
    <w:p w14:paraId="7E8526CE" w14:textId="77777777" w:rsidR="00ED0BD0" w:rsidRDefault="00ED0BD0" w:rsidP="00ED0BD0">
      <w:pPr>
        <w:rPr>
          <w:rFonts w:cs="Arial"/>
          <w:szCs w:val="24"/>
        </w:rPr>
      </w:pPr>
    </w:p>
    <w:p w14:paraId="051E6988" w14:textId="096F176A" w:rsidR="00A124D5" w:rsidRDefault="004B51FF">
      <w:pPr>
        <w:pStyle w:val="TOC1"/>
        <w:rPr>
          <w:rFonts w:asciiTheme="minorHAnsi" w:eastAsiaTheme="minorEastAsia" w:hAnsiTheme="minorHAnsi" w:cstheme="minorBidi"/>
          <w:bCs w:val="0"/>
          <w:sz w:val="22"/>
          <w:szCs w:val="22"/>
          <w:lang w:eastAsia="en-GB"/>
        </w:rPr>
      </w:pPr>
      <w:r w:rsidRPr="00DA1328">
        <w:rPr>
          <w:szCs w:val="24"/>
        </w:rPr>
        <w:fldChar w:fldCharType="begin"/>
      </w:r>
      <w:r w:rsidR="00ED0BD0" w:rsidRPr="00DA1328">
        <w:rPr>
          <w:szCs w:val="24"/>
        </w:rPr>
        <w:instrText xml:space="preserve"> TOC \o "1-3" \h \z \u </w:instrText>
      </w:r>
      <w:r w:rsidRPr="00DA1328">
        <w:rPr>
          <w:szCs w:val="24"/>
        </w:rPr>
        <w:fldChar w:fldCharType="separate"/>
      </w:r>
      <w:hyperlink w:anchor="_Toc132635585" w:history="1">
        <w:r w:rsidR="00A124D5" w:rsidRPr="00677E45">
          <w:rPr>
            <w:rStyle w:val="Hyperlink"/>
            <w:rFonts w:ascii="Arial Bold" w:hAnsi="Arial Bold"/>
            <w:b/>
            <w:caps/>
            <w:kern w:val="24"/>
          </w:rPr>
          <w:t>1</w:t>
        </w:r>
        <w:r w:rsidR="00A124D5">
          <w:rPr>
            <w:rFonts w:asciiTheme="minorHAnsi" w:eastAsiaTheme="minorEastAsia" w:hAnsiTheme="minorHAnsi" w:cstheme="minorBidi"/>
            <w:bCs w:val="0"/>
            <w:sz w:val="22"/>
            <w:szCs w:val="22"/>
            <w:lang w:eastAsia="en-GB"/>
          </w:rPr>
          <w:tab/>
        </w:r>
        <w:r w:rsidR="00A124D5" w:rsidRPr="00677E45">
          <w:rPr>
            <w:rStyle w:val="Hyperlink"/>
            <w:b/>
          </w:rPr>
          <w:t>Introduction</w:t>
        </w:r>
        <w:r w:rsidR="00A124D5">
          <w:rPr>
            <w:webHidden/>
          </w:rPr>
          <w:tab/>
        </w:r>
        <w:r w:rsidR="00A124D5">
          <w:rPr>
            <w:webHidden/>
          </w:rPr>
          <w:fldChar w:fldCharType="begin"/>
        </w:r>
        <w:r w:rsidR="00A124D5">
          <w:rPr>
            <w:webHidden/>
          </w:rPr>
          <w:instrText xml:space="preserve"> PAGEREF _Toc132635585 \h </w:instrText>
        </w:r>
        <w:r w:rsidR="00A124D5">
          <w:rPr>
            <w:webHidden/>
          </w:rPr>
        </w:r>
        <w:r w:rsidR="00A124D5">
          <w:rPr>
            <w:webHidden/>
          </w:rPr>
          <w:fldChar w:fldCharType="separate"/>
        </w:r>
        <w:r w:rsidR="00A124D5">
          <w:rPr>
            <w:webHidden/>
          </w:rPr>
          <w:t>6</w:t>
        </w:r>
        <w:r w:rsidR="00A124D5">
          <w:rPr>
            <w:webHidden/>
          </w:rPr>
          <w:fldChar w:fldCharType="end"/>
        </w:r>
      </w:hyperlink>
    </w:p>
    <w:p w14:paraId="7AC34B69" w14:textId="6BB37402" w:rsidR="00A124D5" w:rsidRDefault="00A124D5">
      <w:pPr>
        <w:pStyle w:val="TOC1"/>
        <w:rPr>
          <w:rFonts w:asciiTheme="minorHAnsi" w:eastAsiaTheme="minorEastAsia" w:hAnsiTheme="minorHAnsi" w:cstheme="minorBidi"/>
          <w:bCs w:val="0"/>
          <w:sz w:val="22"/>
          <w:szCs w:val="22"/>
          <w:lang w:eastAsia="en-GB"/>
        </w:rPr>
      </w:pPr>
      <w:hyperlink w:anchor="_Toc132635586" w:history="1">
        <w:r w:rsidRPr="00677E45">
          <w:rPr>
            <w:rStyle w:val="Hyperlink"/>
            <w:rFonts w:ascii="Arial Bold" w:hAnsi="Arial Bold"/>
            <w:b/>
            <w:caps/>
            <w:kern w:val="24"/>
          </w:rPr>
          <w:t>2</w:t>
        </w:r>
        <w:r>
          <w:rPr>
            <w:rFonts w:asciiTheme="minorHAnsi" w:eastAsiaTheme="minorEastAsia" w:hAnsiTheme="minorHAnsi" w:cstheme="minorBidi"/>
            <w:bCs w:val="0"/>
            <w:sz w:val="22"/>
            <w:szCs w:val="22"/>
            <w:lang w:eastAsia="en-GB"/>
          </w:rPr>
          <w:tab/>
        </w:r>
        <w:r w:rsidRPr="00677E45">
          <w:rPr>
            <w:rStyle w:val="Hyperlink"/>
            <w:b/>
          </w:rPr>
          <w:t>Aims and Objectives</w:t>
        </w:r>
        <w:r>
          <w:rPr>
            <w:webHidden/>
          </w:rPr>
          <w:tab/>
        </w:r>
        <w:r>
          <w:rPr>
            <w:webHidden/>
          </w:rPr>
          <w:fldChar w:fldCharType="begin"/>
        </w:r>
        <w:r>
          <w:rPr>
            <w:webHidden/>
          </w:rPr>
          <w:instrText xml:space="preserve"> PAGEREF _Toc132635586 \h </w:instrText>
        </w:r>
        <w:r>
          <w:rPr>
            <w:webHidden/>
          </w:rPr>
        </w:r>
        <w:r>
          <w:rPr>
            <w:webHidden/>
          </w:rPr>
          <w:fldChar w:fldCharType="separate"/>
        </w:r>
        <w:r>
          <w:rPr>
            <w:webHidden/>
          </w:rPr>
          <w:t>6</w:t>
        </w:r>
        <w:r>
          <w:rPr>
            <w:webHidden/>
          </w:rPr>
          <w:fldChar w:fldCharType="end"/>
        </w:r>
      </w:hyperlink>
    </w:p>
    <w:p w14:paraId="31310683" w14:textId="54B192D3" w:rsidR="00A124D5" w:rsidRDefault="00A124D5">
      <w:pPr>
        <w:pStyle w:val="TOC1"/>
        <w:rPr>
          <w:rFonts w:asciiTheme="minorHAnsi" w:eastAsiaTheme="minorEastAsia" w:hAnsiTheme="minorHAnsi" w:cstheme="minorBidi"/>
          <w:bCs w:val="0"/>
          <w:sz w:val="22"/>
          <w:szCs w:val="22"/>
          <w:lang w:eastAsia="en-GB"/>
        </w:rPr>
      </w:pPr>
      <w:hyperlink w:anchor="_Toc132635587" w:history="1">
        <w:r w:rsidRPr="00677E45">
          <w:rPr>
            <w:rStyle w:val="Hyperlink"/>
            <w:rFonts w:ascii="Arial Bold" w:hAnsi="Arial Bold"/>
            <w:b/>
            <w:caps/>
            <w:kern w:val="24"/>
          </w:rPr>
          <w:t>3</w:t>
        </w:r>
        <w:r>
          <w:rPr>
            <w:rFonts w:asciiTheme="minorHAnsi" w:eastAsiaTheme="minorEastAsia" w:hAnsiTheme="minorHAnsi" w:cstheme="minorBidi"/>
            <w:bCs w:val="0"/>
            <w:sz w:val="22"/>
            <w:szCs w:val="22"/>
            <w:lang w:eastAsia="en-GB"/>
          </w:rPr>
          <w:tab/>
        </w:r>
        <w:r w:rsidRPr="00677E45">
          <w:rPr>
            <w:rStyle w:val="Hyperlink"/>
            <w:b/>
          </w:rPr>
          <w:t>Definitions</w:t>
        </w:r>
        <w:r>
          <w:rPr>
            <w:webHidden/>
          </w:rPr>
          <w:tab/>
        </w:r>
        <w:r>
          <w:rPr>
            <w:webHidden/>
          </w:rPr>
          <w:fldChar w:fldCharType="begin"/>
        </w:r>
        <w:r>
          <w:rPr>
            <w:webHidden/>
          </w:rPr>
          <w:instrText xml:space="preserve"> PAGEREF _Toc132635587 \h </w:instrText>
        </w:r>
        <w:r>
          <w:rPr>
            <w:webHidden/>
          </w:rPr>
        </w:r>
        <w:r>
          <w:rPr>
            <w:webHidden/>
          </w:rPr>
          <w:fldChar w:fldCharType="separate"/>
        </w:r>
        <w:r>
          <w:rPr>
            <w:webHidden/>
          </w:rPr>
          <w:t>6</w:t>
        </w:r>
        <w:r>
          <w:rPr>
            <w:webHidden/>
          </w:rPr>
          <w:fldChar w:fldCharType="end"/>
        </w:r>
      </w:hyperlink>
    </w:p>
    <w:p w14:paraId="40D3A3BC" w14:textId="708CA15E" w:rsidR="00A124D5" w:rsidRDefault="00A124D5">
      <w:pPr>
        <w:pStyle w:val="TOC1"/>
        <w:rPr>
          <w:rFonts w:asciiTheme="minorHAnsi" w:eastAsiaTheme="minorEastAsia" w:hAnsiTheme="minorHAnsi" w:cstheme="minorBidi"/>
          <w:bCs w:val="0"/>
          <w:sz w:val="22"/>
          <w:szCs w:val="22"/>
          <w:lang w:eastAsia="en-GB"/>
        </w:rPr>
      </w:pPr>
      <w:hyperlink w:anchor="_Toc132635588" w:history="1">
        <w:r w:rsidRPr="00677E45">
          <w:rPr>
            <w:rStyle w:val="Hyperlink"/>
            <w:rFonts w:ascii="Arial Bold" w:hAnsi="Arial Bold"/>
            <w:b/>
            <w:caps/>
            <w:kern w:val="24"/>
          </w:rPr>
          <w:t>4</w:t>
        </w:r>
        <w:r>
          <w:rPr>
            <w:rFonts w:asciiTheme="minorHAnsi" w:eastAsiaTheme="minorEastAsia" w:hAnsiTheme="minorHAnsi" w:cstheme="minorBidi"/>
            <w:bCs w:val="0"/>
            <w:sz w:val="22"/>
            <w:szCs w:val="22"/>
            <w:lang w:eastAsia="en-GB"/>
          </w:rPr>
          <w:tab/>
        </w:r>
        <w:r w:rsidRPr="00677E45">
          <w:rPr>
            <w:rStyle w:val="Hyperlink"/>
            <w:b/>
          </w:rPr>
          <w:t>Policy Statement</w:t>
        </w:r>
        <w:r>
          <w:rPr>
            <w:webHidden/>
          </w:rPr>
          <w:tab/>
        </w:r>
        <w:r>
          <w:rPr>
            <w:webHidden/>
          </w:rPr>
          <w:fldChar w:fldCharType="begin"/>
        </w:r>
        <w:r>
          <w:rPr>
            <w:webHidden/>
          </w:rPr>
          <w:instrText xml:space="preserve"> PAGEREF _Toc132635588 \h </w:instrText>
        </w:r>
        <w:r>
          <w:rPr>
            <w:webHidden/>
          </w:rPr>
        </w:r>
        <w:r>
          <w:rPr>
            <w:webHidden/>
          </w:rPr>
          <w:fldChar w:fldCharType="separate"/>
        </w:r>
        <w:r>
          <w:rPr>
            <w:webHidden/>
          </w:rPr>
          <w:t>7</w:t>
        </w:r>
        <w:r>
          <w:rPr>
            <w:webHidden/>
          </w:rPr>
          <w:fldChar w:fldCharType="end"/>
        </w:r>
      </w:hyperlink>
    </w:p>
    <w:p w14:paraId="123D3C77" w14:textId="4C59CB4E" w:rsidR="00A124D5" w:rsidRDefault="00A124D5">
      <w:pPr>
        <w:pStyle w:val="TOC1"/>
        <w:rPr>
          <w:rFonts w:asciiTheme="minorHAnsi" w:eastAsiaTheme="minorEastAsia" w:hAnsiTheme="minorHAnsi" w:cstheme="minorBidi"/>
          <w:bCs w:val="0"/>
          <w:sz w:val="22"/>
          <w:szCs w:val="22"/>
          <w:lang w:eastAsia="en-GB"/>
        </w:rPr>
      </w:pPr>
      <w:hyperlink w:anchor="_Toc132635589" w:history="1">
        <w:r w:rsidRPr="00677E45">
          <w:rPr>
            <w:rStyle w:val="Hyperlink"/>
            <w:rFonts w:ascii="Arial Bold" w:hAnsi="Arial Bold"/>
            <w:b/>
            <w:caps/>
            <w:kern w:val="24"/>
          </w:rPr>
          <w:t>5</w:t>
        </w:r>
        <w:r>
          <w:rPr>
            <w:rFonts w:asciiTheme="minorHAnsi" w:eastAsiaTheme="minorEastAsia" w:hAnsiTheme="minorHAnsi" w:cstheme="minorBidi"/>
            <w:bCs w:val="0"/>
            <w:sz w:val="22"/>
            <w:szCs w:val="22"/>
            <w:lang w:eastAsia="en-GB"/>
          </w:rPr>
          <w:tab/>
        </w:r>
        <w:r w:rsidRPr="00677E45">
          <w:rPr>
            <w:rStyle w:val="Hyperlink"/>
            <w:b/>
          </w:rPr>
          <w:t>Responsibilities</w:t>
        </w:r>
        <w:r>
          <w:rPr>
            <w:webHidden/>
          </w:rPr>
          <w:tab/>
        </w:r>
        <w:r>
          <w:rPr>
            <w:webHidden/>
          </w:rPr>
          <w:fldChar w:fldCharType="begin"/>
        </w:r>
        <w:r>
          <w:rPr>
            <w:webHidden/>
          </w:rPr>
          <w:instrText xml:space="preserve"> PAGEREF _Toc132635589 \h </w:instrText>
        </w:r>
        <w:r>
          <w:rPr>
            <w:webHidden/>
          </w:rPr>
        </w:r>
        <w:r>
          <w:rPr>
            <w:webHidden/>
          </w:rPr>
          <w:fldChar w:fldCharType="separate"/>
        </w:r>
        <w:r>
          <w:rPr>
            <w:webHidden/>
          </w:rPr>
          <w:t>7</w:t>
        </w:r>
        <w:r>
          <w:rPr>
            <w:webHidden/>
          </w:rPr>
          <w:fldChar w:fldCharType="end"/>
        </w:r>
      </w:hyperlink>
    </w:p>
    <w:p w14:paraId="52455A8D" w14:textId="4FC5A2FB" w:rsidR="00A124D5" w:rsidRDefault="00A124D5">
      <w:pPr>
        <w:pStyle w:val="TOC1"/>
        <w:rPr>
          <w:rFonts w:asciiTheme="minorHAnsi" w:eastAsiaTheme="minorEastAsia" w:hAnsiTheme="minorHAnsi" w:cstheme="minorBidi"/>
          <w:bCs w:val="0"/>
          <w:sz w:val="22"/>
          <w:szCs w:val="22"/>
          <w:lang w:eastAsia="en-GB"/>
        </w:rPr>
      </w:pPr>
      <w:hyperlink w:anchor="_Toc132635590" w:history="1">
        <w:r w:rsidRPr="00677E45">
          <w:rPr>
            <w:rStyle w:val="Hyperlink"/>
            <w:rFonts w:ascii="Arial Bold" w:hAnsi="Arial Bold"/>
            <w:b/>
            <w:caps/>
            <w:kern w:val="24"/>
          </w:rPr>
          <w:t>6</w:t>
        </w:r>
        <w:r>
          <w:rPr>
            <w:rFonts w:asciiTheme="minorHAnsi" w:eastAsiaTheme="minorEastAsia" w:hAnsiTheme="minorHAnsi" w:cstheme="minorBidi"/>
            <w:bCs w:val="0"/>
            <w:sz w:val="22"/>
            <w:szCs w:val="22"/>
            <w:lang w:eastAsia="en-GB"/>
          </w:rPr>
          <w:tab/>
        </w:r>
        <w:r w:rsidRPr="00677E45">
          <w:rPr>
            <w:rStyle w:val="Hyperlink"/>
            <w:b/>
          </w:rPr>
          <w:t>Arrangements</w:t>
        </w:r>
        <w:r>
          <w:rPr>
            <w:webHidden/>
          </w:rPr>
          <w:tab/>
        </w:r>
        <w:r>
          <w:rPr>
            <w:webHidden/>
          </w:rPr>
          <w:fldChar w:fldCharType="begin"/>
        </w:r>
        <w:r>
          <w:rPr>
            <w:webHidden/>
          </w:rPr>
          <w:instrText xml:space="preserve"> PAGEREF _Toc132635590 \h </w:instrText>
        </w:r>
        <w:r>
          <w:rPr>
            <w:webHidden/>
          </w:rPr>
        </w:r>
        <w:r>
          <w:rPr>
            <w:webHidden/>
          </w:rPr>
          <w:fldChar w:fldCharType="separate"/>
        </w:r>
        <w:r>
          <w:rPr>
            <w:webHidden/>
          </w:rPr>
          <w:t>9</w:t>
        </w:r>
        <w:r>
          <w:rPr>
            <w:webHidden/>
          </w:rPr>
          <w:fldChar w:fldCharType="end"/>
        </w:r>
      </w:hyperlink>
    </w:p>
    <w:p w14:paraId="49AFAB57" w14:textId="74F21783" w:rsidR="00A124D5" w:rsidRDefault="00A124D5">
      <w:pPr>
        <w:pStyle w:val="TOC1"/>
        <w:rPr>
          <w:rFonts w:asciiTheme="minorHAnsi" w:eastAsiaTheme="minorEastAsia" w:hAnsiTheme="minorHAnsi" w:cstheme="minorBidi"/>
          <w:bCs w:val="0"/>
          <w:sz w:val="22"/>
          <w:szCs w:val="22"/>
          <w:lang w:eastAsia="en-GB"/>
        </w:rPr>
      </w:pPr>
      <w:hyperlink w:anchor="_Toc132635591" w:history="1">
        <w:r w:rsidRPr="00677E45">
          <w:rPr>
            <w:rStyle w:val="Hyperlink"/>
            <w:rFonts w:ascii="Arial Bold" w:hAnsi="Arial Bold"/>
            <w:b/>
            <w:caps/>
            <w:kern w:val="24"/>
          </w:rPr>
          <w:t>8</w:t>
        </w:r>
        <w:r>
          <w:rPr>
            <w:rFonts w:asciiTheme="minorHAnsi" w:eastAsiaTheme="minorEastAsia" w:hAnsiTheme="minorHAnsi" w:cstheme="minorBidi"/>
            <w:bCs w:val="0"/>
            <w:sz w:val="22"/>
            <w:szCs w:val="22"/>
            <w:lang w:eastAsia="en-GB"/>
          </w:rPr>
          <w:tab/>
        </w:r>
        <w:r w:rsidRPr="00677E45">
          <w:rPr>
            <w:rStyle w:val="Hyperlink"/>
            <w:b/>
          </w:rPr>
          <w:t>Complaints</w:t>
        </w:r>
        <w:r>
          <w:rPr>
            <w:webHidden/>
          </w:rPr>
          <w:tab/>
        </w:r>
        <w:r>
          <w:rPr>
            <w:webHidden/>
          </w:rPr>
          <w:fldChar w:fldCharType="begin"/>
        </w:r>
        <w:r>
          <w:rPr>
            <w:webHidden/>
          </w:rPr>
          <w:instrText xml:space="preserve"> PAGEREF _Toc132635591 \h </w:instrText>
        </w:r>
        <w:r>
          <w:rPr>
            <w:webHidden/>
          </w:rPr>
        </w:r>
        <w:r>
          <w:rPr>
            <w:webHidden/>
          </w:rPr>
          <w:fldChar w:fldCharType="separate"/>
        </w:r>
        <w:r>
          <w:rPr>
            <w:webHidden/>
          </w:rPr>
          <w:t>20</w:t>
        </w:r>
        <w:r>
          <w:rPr>
            <w:webHidden/>
          </w:rPr>
          <w:fldChar w:fldCharType="end"/>
        </w:r>
      </w:hyperlink>
    </w:p>
    <w:p w14:paraId="734CF375" w14:textId="296E8458" w:rsidR="00A124D5" w:rsidRDefault="00A124D5">
      <w:pPr>
        <w:pStyle w:val="TOC1"/>
        <w:rPr>
          <w:rFonts w:asciiTheme="minorHAnsi" w:eastAsiaTheme="minorEastAsia" w:hAnsiTheme="minorHAnsi" w:cstheme="minorBidi"/>
          <w:bCs w:val="0"/>
          <w:sz w:val="22"/>
          <w:szCs w:val="22"/>
          <w:lang w:eastAsia="en-GB"/>
        </w:rPr>
      </w:pPr>
      <w:hyperlink w:anchor="_Toc132635592" w:history="1">
        <w:r w:rsidRPr="00677E45">
          <w:rPr>
            <w:rStyle w:val="Hyperlink"/>
            <w:rFonts w:ascii="Arial Bold" w:hAnsi="Arial Bold"/>
            <w:b/>
            <w:caps/>
            <w:kern w:val="24"/>
          </w:rPr>
          <w:t>9</w:t>
        </w:r>
        <w:r>
          <w:rPr>
            <w:rFonts w:asciiTheme="minorHAnsi" w:eastAsiaTheme="minorEastAsia" w:hAnsiTheme="minorHAnsi" w:cstheme="minorBidi"/>
            <w:bCs w:val="0"/>
            <w:sz w:val="22"/>
            <w:szCs w:val="22"/>
            <w:lang w:eastAsia="en-GB"/>
          </w:rPr>
          <w:tab/>
        </w:r>
        <w:r w:rsidRPr="00677E45">
          <w:rPr>
            <w:rStyle w:val="Hyperlink"/>
            <w:b/>
          </w:rPr>
          <w:t>Compensation</w:t>
        </w:r>
        <w:r>
          <w:rPr>
            <w:webHidden/>
          </w:rPr>
          <w:tab/>
        </w:r>
        <w:r>
          <w:rPr>
            <w:webHidden/>
          </w:rPr>
          <w:fldChar w:fldCharType="begin"/>
        </w:r>
        <w:r>
          <w:rPr>
            <w:webHidden/>
          </w:rPr>
          <w:instrText xml:space="preserve"> PAGEREF _Toc132635592 \h </w:instrText>
        </w:r>
        <w:r>
          <w:rPr>
            <w:webHidden/>
          </w:rPr>
        </w:r>
        <w:r>
          <w:rPr>
            <w:webHidden/>
          </w:rPr>
          <w:fldChar w:fldCharType="separate"/>
        </w:r>
        <w:r>
          <w:rPr>
            <w:webHidden/>
          </w:rPr>
          <w:t>20</w:t>
        </w:r>
        <w:r>
          <w:rPr>
            <w:webHidden/>
          </w:rPr>
          <w:fldChar w:fldCharType="end"/>
        </w:r>
      </w:hyperlink>
    </w:p>
    <w:p w14:paraId="6A24BAF3" w14:textId="3FAAD3BA" w:rsidR="00A124D5" w:rsidRDefault="00A124D5">
      <w:pPr>
        <w:pStyle w:val="TOC1"/>
        <w:rPr>
          <w:rFonts w:asciiTheme="minorHAnsi" w:eastAsiaTheme="minorEastAsia" w:hAnsiTheme="minorHAnsi" w:cstheme="minorBidi"/>
          <w:bCs w:val="0"/>
          <w:sz w:val="22"/>
          <w:szCs w:val="22"/>
          <w:lang w:eastAsia="en-GB"/>
        </w:rPr>
      </w:pPr>
      <w:hyperlink w:anchor="_Toc132635593" w:history="1">
        <w:r w:rsidRPr="00677E45">
          <w:rPr>
            <w:rStyle w:val="Hyperlink"/>
            <w:rFonts w:ascii="Arial Bold" w:hAnsi="Arial Bold"/>
            <w:b/>
            <w:caps/>
            <w:kern w:val="24"/>
          </w:rPr>
          <w:t>10</w:t>
        </w:r>
        <w:r>
          <w:rPr>
            <w:rFonts w:asciiTheme="minorHAnsi" w:eastAsiaTheme="minorEastAsia" w:hAnsiTheme="minorHAnsi" w:cstheme="minorBidi"/>
            <w:bCs w:val="0"/>
            <w:sz w:val="22"/>
            <w:szCs w:val="22"/>
            <w:lang w:eastAsia="en-GB"/>
          </w:rPr>
          <w:tab/>
        </w:r>
        <w:r w:rsidRPr="00677E45">
          <w:rPr>
            <w:rStyle w:val="Hyperlink"/>
            <w:b/>
          </w:rPr>
          <w:t>Competence</w:t>
        </w:r>
        <w:r>
          <w:rPr>
            <w:webHidden/>
          </w:rPr>
          <w:tab/>
        </w:r>
        <w:r>
          <w:rPr>
            <w:webHidden/>
          </w:rPr>
          <w:fldChar w:fldCharType="begin"/>
        </w:r>
        <w:r>
          <w:rPr>
            <w:webHidden/>
          </w:rPr>
          <w:instrText xml:space="preserve"> PAGEREF _Toc132635593 \h </w:instrText>
        </w:r>
        <w:r>
          <w:rPr>
            <w:webHidden/>
          </w:rPr>
        </w:r>
        <w:r>
          <w:rPr>
            <w:webHidden/>
          </w:rPr>
          <w:fldChar w:fldCharType="separate"/>
        </w:r>
        <w:r>
          <w:rPr>
            <w:webHidden/>
          </w:rPr>
          <w:t>20</w:t>
        </w:r>
        <w:r>
          <w:rPr>
            <w:webHidden/>
          </w:rPr>
          <w:fldChar w:fldCharType="end"/>
        </w:r>
      </w:hyperlink>
    </w:p>
    <w:p w14:paraId="1E24E867" w14:textId="37D86CFF" w:rsidR="00A124D5" w:rsidRDefault="00A124D5">
      <w:pPr>
        <w:pStyle w:val="TOC1"/>
        <w:rPr>
          <w:rFonts w:asciiTheme="minorHAnsi" w:eastAsiaTheme="minorEastAsia" w:hAnsiTheme="minorHAnsi" w:cstheme="minorBidi"/>
          <w:bCs w:val="0"/>
          <w:sz w:val="22"/>
          <w:szCs w:val="22"/>
          <w:lang w:eastAsia="en-GB"/>
        </w:rPr>
      </w:pPr>
      <w:hyperlink w:anchor="_Toc132635594" w:history="1">
        <w:r w:rsidRPr="00677E45">
          <w:rPr>
            <w:rStyle w:val="Hyperlink"/>
            <w:rFonts w:ascii="Arial Bold" w:hAnsi="Arial Bold"/>
            <w:b/>
            <w:caps/>
            <w:kern w:val="24"/>
          </w:rPr>
          <w:t>11</w:t>
        </w:r>
        <w:r>
          <w:rPr>
            <w:rFonts w:asciiTheme="minorHAnsi" w:eastAsiaTheme="minorEastAsia" w:hAnsiTheme="minorHAnsi" w:cstheme="minorBidi"/>
            <w:bCs w:val="0"/>
            <w:sz w:val="22"/>
            <w:szCs w:val="22"/>
            <w:lang w:eastAsia="en-GB"/>
          </w:rPr>
          <w:tab/>
        </w:r>
        <w:r w:rsidRPr="00677E45">
          <w:rPr>
            <w:rStyle w:val="Hyperlink"/>
            <w:b/>
          </w:rPr>
          <w:t>Monitoring</w:t>
        </w:r>
        <w:r>
          <w:rPr>
            <w:webHidden/>
          </w:rPr>
          <w:tab/>
        </w:r>
        <w:r>
          <w:rPr>
            <w:webHidden/>
          </w:rPr>
          <w:fldChar w:fldCharType="begin"/>
        </w:r>
        <w:r>
          <w:rPr>
            <w:webHidden/>
          </w:rPr>
          <w:instrText xml:space="preserve"> PAGEREF _Toc132635594 \h </w:instrText>
        </w:r>
        <w:r>
          <w:rPr>
            <w:webHidden/>
          </w:rPr>
        </w:r>
        <w:r>
          <w:rPr>
            <w:webHidden/>
          </w:rPr>
          <w:fldChar w:fldCharType="separate"/>
        </w:r>
        <w:r>
          <w:rPr>
            <w:webHidden/>
          </w:rPr>
          <w:t>20</w:t>
        </w:r>
        <w:r>
          <w:rPr>
            <w:webHidden/>
          </w:rPr>
          <w:fldChar w:fldCharType="end"/>
        </w:r>
      </w:hyperlink>
    </w:p>
    <w:p w14:paraId="08F46F05" w14:textId="609A48F7" w:rsidR="00A124D5" w:rsidRDefault="00A124D5">
      <w:pPr>
        <w:pStyle w:val="TOC1"/>
        <w:rPr>
          <w:rFonts w:asciiTheme="minorHAnsi" w:eastAsiaTheme="minorEastAsia" w:hAnsiTheme="minorHAnsi" w:cstheme="minorBidi"/>
          <w:bCs w:val="0"/>
          <w:sz w:val="22"/>
          <w:szCs w:val="22"/>
          <w:lang w:eastAsia="en-GB"/>
        </w:rPr>
      </w:pPr>
      <w:hyperlink w:anchor="_Toc132635595" w:history="1">
        <w:r w:rsidRPr="00677E45">
          <w:rPr>
            <w:rStyle w:val="Hyperlink"/>
            <w:rFonts w:ascii="Arial Bold" w:hAnsi="Arial Bold"/>
            <w:b/>
            <w:caps/>
            <w:kern w:val="24"/>
          </w:rPr>
          <w:t>12</w:t>
        </w:r>
        <w:r>
          <w:rPr>
            <w:rFonts w:asciiTheme="minorHAnsi" w:eastAsiaTheme="minorEastAsia" w:hAnsiTheme="minorHAnsi" w:cstheme="minorBidi"/>
            <w:bCs w:val="0"/>
            <w:sz w:val="22"/>
            <w:szCs w:val="22"/>
            <w:lang w:eastAsia="en-GB"/>
          </w:rPr>
          <w:tab/>
        </w:r>
        <w:r w:rsidRPr="00677E45">
          <w:rPr>
            <w:rStyle w:val="Hyperlink"/>
            <w:b/>
          </w:rPr>
          <w:t>Audit and Review</w:t>
        </w:r>
        <w:r>
          <w:rPr>
            <w:webHidden/>
          </w:rPr>
          <w:tab/>
        </w:r>
        <w:r>
          <w:rPr>
            <w:webHidden/>
          </w:rPr>
          <w:fldChar w:fldCharType="begin"/>
        </w:r>
        <w:r>
          <w:rPr>
            <w:webHidden/>
          </w:rPr>
          <w:instrText xml:space="preserve"> PAGEREF _Toc132635595 \h </w:instrText>
        </w:r>
        <w:r>
          <w:rPr>
            <w:webHidden/>
          </w:rPr>
        </w:r>
        <w:r>
          <w:rPr>
            <w:webHidden/>
          </w:rPr>
          <w:fldChar w:fldCharType="separate"/>
        </w:r>
        <w:r>
          <w:rPr>
            <w:webHidden/>
          </w:rPr>
          <w:t>21</w:t>
        </w:r>
        <w:r>
          <w:rPr>
            <w:webHidden/>
          </w:rPr>
          <w:fldChar w:fldCharType="end"/>
        </w:r>
      </w:hyperlink>
    </w:p>
    <w:p w14:paraId="2453BDC1" w14:textId="6F0D0909" w:rsidR="00A124D5" w:rsidRDefault="00A124D5">
      <w:pPr>
        <w:pStyle w:val="TOC1"/>
        <w:rPr>
          <w:rFonts w:asciiTheme="minorHAnsi" w:eastAsiaTheme="minorEastAsia" w:hAnsiTheme="minorHAnsi" w:cstheme="minorBidi"/>
          <w:bCs w:val="0"/>
          <w:sz w:val="22"/>
          <w:szCs w:val="22"/>
          <w:lang w:eastAsia="en-GB"/>
        </w:rPr>
      </w:pPr>
      <w:hyperlink w:anchor="_Toc132635596" w:history="1">
        <w:r w:rsidRPr="00677E45">
          <w:rPr>
            <w:rStyle w:val="Hyperlink"/>
            <w:rFonts w:ascii="Arial Bold" w:hAnsi="Arial Bold"/>
            <w:b/>
            <w:caps/>
            <w:kern w:val="24"/>
          </w:rPr>
          <w:t>13</w:t>
        </w:r>
        <w:r>
          <w:rPr>
            <w:rFonts w:asciiTheme="minorHAnsi" w:eastAsiaTheme="minorEastAsia" w:hAnsiTheme="minorHAnsi" w:cstheme="minorBidi"/>
            <w:bCs w:val="0"/>
            <w:sz w:val="22"/>
            <w:szCs w:val="22"/>
            <w:lang w:eastAsia="en-GB"/>
          </w:rPr>
          <w:tab/>
        </w:r>
        <w:r w:rsidRPr="00677E45">
          <w:rPr>
            <w:rStyle w:val="Hyperlink"/>
            <w:b/>
          </w:rPr>
          <w:t>Equality Impact Appraisal</w:t>
        </w:r>
        <w:r>
          <w:rPr>
            <w:webHidden/>
          </w:rPr>
          <w:tab/>
        </w:r>
        <w:r>
          <w:rPr>
            <w:webHidden/>
          </w:rPr>
          <w:fldChar w:fldCharType="begin"/>
        </w:r>
        <w:r>
          <w:rPr>
            <w:webHidden/>
          </w:rPr>
          <w:instrText xml:space="preserve"> PAGEREF _Toc132635596 \h </w:instrText>
        </w:r>
        <w:r>
          <w:rPr>
            <w:webHidden/>
          </w:rPr>
        </w:r>
        <w:r>
          <w:rPr>
            <w:webHidden/>
          </w:rPr>
          <w:fldChar w:fldCharType="separate"/>
        </w:r>
        <w:r>
          <w:rPr>
            <w:webHidden/>
          </w:rPr>
          <w:t>21</w:t>
        </w:r>
        <w:r>
          <w:rPr>
            <w:webHidden/>
          </w:rPr>
          <w:fldChar w:fldCharType="end"/>
        </w:r>
      </w:hyperlink>
    </w:p>
    <w:p w14:paraId="3BA34BA9" w14:textId="1E418E44" w:rsidR="00A124D5" w:rsidRDefault="00A124D5">
      <w:pPr>
        <w:pStyle w:val="TOC1"/>
        <w:rPr>
          <w:rFonts w:asciiTheme="minorHAnsi" w:eastAsiaTheme="minorEastAsia" w:hAnsiTheme="minorHAnsi" w:cstheme="minorBidi"/>
          <w:bCs w:val="0"/>
          <w:sz w:val="22"/>
          <w:szCs w:val="22"/>
          <w:lang w:eastAsia="en-GB"/>
        </w:rPr>
      </w:pPr>
      <w:hyperlink w:anchor="_Toc132635597" w:history="1">
        <w:r w:rsidRPr="00677E45">
          <w:rPr>
            <w:rStyle w:val="Hyperlink"/>
            <w:rFonts w:ascii="Arial Bold" w:hAnsi="Arial Bold"/>
            <w:b/>
            <w:caps/>
            <w:kern w:val="24"/>
          </w:rPr>
          <w:t>14</w:t>
        </w:r>
        <w:r>
          <w:rPr>
            <w:rFonts w:asciiTheme="minorHAnsi" w:eastAsiaTheme="minorEastAsia" w:hAnsiTheme="minorHAnsi" w:cstheme="minorBidi"/>
            <w:bCs w:val="0"/>
            <w:sz w:val="22"/>
            <w:szCs w:val="22"/>
            <w:lang w:eastAsia="en-GB"/>
          </w:rPr>
          <w:tab/>
        </w:r>
        <w:r w:rsidRPr="00677E45">
          <w:rPr>
            <w:rStyle w:val="Hyperlink"/>
            <w:b/>
          </w:rPr>
          <w:t>Associated Documentation</w:t>
        </w:r>
        <w:r>
          <w:rPr>
            <w:webHidden/>
          </w:rPr>
          <w:tab/>
        </w:r>
        <w:r>
          <w:rPr>
            <w:webHidden/>
          </w:rPr>
          <w:fldChar w:fldCharType="begin"/>
        </w:r>
        <w:r>
          <w:rPr>
            <w:webHidden/>
          </w:rPr>
          <w:instrText xml:space="preserve"> PAGEREF _Toc132635597 \h </w:instrText>
        </w:r>
        <w:r>
          <w:rPr>
            <w:webHidden/>
          </w:rPr>
        </w:r>
        <w:r>
          <w:rPr>
            <w:webHidden/>
          </w:rPr>
          <w:fldChar w:fldCharType="separate"/>
        </w:r>
        <w:r>
          <w:rPr>
            <w:webHidden/>
          </w:rPr>
          <w:t>21</w:t>
        </w:r>
        <w:r>
          <w:rPr>
            <w:webHidden/>
          </w:rPr>
          <w:fldChar w:fldCharType="end"/>
        </w:r>
      </w:hyperlink>
    </w:p>
    <w:p w14:paraId="029A753B" w14:textId="10D259A2" w:rsidR="00A124D5" w:rsidRDefault="00A124D5">
      <w:pPr>
        <w:pStyle w:val="TOC1"/>
        <w:rPr>
          <w:rFonts w:asciiTheme="minorHAnsi" w:eastAsiaTheme="minorEastAsia" w:hAnsiTheme="minorHAnsi" w:cstheme="minorBidi"/>
          <w:bCs w:val="0"/>
          <w:sz w:val="22"/>
          <w:szCs w:val="22"/>
          <w:lang w:eastAsia="en-GB"/>
        </w:rPr>
      </w:pPr>
      <w:hyperlink w:anchor="_Toc132635598" w:history="1">
        <w:r w:rsidRPr="00677E45">
          <w:rPr>
            <w:rStyle w:val="Hyperlink"/>
            <w:rFonts w:ascii="Arial Bold" w:hAnsi="Arial Bold"/>
            <w:b/>
            <w:caps/>
            <w:kern w:val="24"/>
          </w:rPr>
          <w:t>15</w:t>
        </w:r>
        <w:r>
          <w:rPr>
            <w:rFonts w:asciiTheme="minorHAnsi" w:eastAsiaTheme="minorEastAsia" w:hAnsiTheme="minorHAnsi" w:cstheme="minorBidi"/>
            <w:bCs w:val="0"/>
            <w:sz w:val="22"/>
            <w:szCs w:val="22"/>
            <w:lang w:eastAsia="en-GB"/>
          </w:rPr>
          <w:tab/>
        </w:r>
        <w:r w:rsidRPr="00677E45">
          <w:rPr>
            <w:rStyle w:val="Hyperlink"/>
            <w:b/>
          </w:rPr>
          <w:t>References</w:t>
        </w:r>
        <w:r>
          <w:rPr>
            <w:webHidden/>
          </w:rPr>
          <w:tab/>
        </w:r>
        <w:r>
          <w:rPr>
            <w:webHidden/>
          </w:rPr>
          <w:fldChar w:fldCharType="begin"/>
        </w:r>
        <w:r>
          <w:rPr>
            <w:webHidden/>
          </w:rPr>
          <w:instrText xml:space="preserve"> PAGEREF _Toc132635598 \h </w:instrText>
        </w:r>
        <w:r>
          <w:rPr>
            <w:webHidden/>
          </w:rPr>
        </w:r>
        <w:r>
          <w:rPr>
            <w:webHidden/>
          </w:rPr>
          <w:fldChar w:fldCharType="separate"/>
        </w:r>
        <w:r>
          <w:rPr>
            <w:webHidden/>
          </w:rPr>
          <w:t>21</w:t>
        </w:r>
        <w:r>
          <w:rPr>
            <w:webHidden/>
          </w:rPr>
          <w:fldChar w:fldCharType="end"/>
        </w:r>
      </w:hyperlink>
    </w:p>
    <w:p w14:paraId="7A8FFBF2" w14:textId="423E59CD" w:rsidR="00A124D5" w:rsidRDefault="00A124D5">
      <w:pPr>
        <w:pStyle w:val="TOC1"/>
        <w:rPr>
          <w:rFonts w:asciiTheme="minorHAnsi" w:eastAsiaTheme="minorEastAsia" w:hAnsiTheme="minorHAnsi" w:cstheme="minorBidi"/>
          <w:bCs w:val="0"/>
          <w:sz w:val="22"/>
          <w:szCs w:val="22"/>
          <w:lang w:eastAsia="en-GB"/>
        </w:rPr>
      </w:pPr>
      <w:hyperlink w:anchor="_Toc132635599" w:history="1">
        <w:r w:rsidRPr="00677E45">
          <w:rPr>
            <w:rStyle w:val="Hyperlink"/>
            <w:b/>
          </w:rPr>
          <w:t>Appendix 1: Overview of Legislation and NHS Guidance</w:t>
        </w:r>
        <w:r>
          <w:rPr>
            <w:webHidden/>
          </w:rPr>
          <w:tab/>
        </w:r>
        <w:r>
          <w:rPr>
            <w:webHidden/>
          </w:rPr>
          <w:fldChar w:fldCharType="begin"/>
        </w:r>
        <w:r>
          <w:rPr>
            <w:webHidden/>
          </w:rPr>
          <w:instrText xml:space="preserve"> PAGEREF _Toc132635599 \h </w:instrText>
        </w:r>
        <w:r>
          <w:rPr>
            <w:webHidden/>
          </w:rPr>
        </w:r>
        <w:r>
          <w:rPr>
            <w:webHidden/>
          </w:rPr>
          <w:fldChar w:fldCharType="separate"/>
        </w:r>
        <w:r>
          <w:rPr>
            <w:webHidden/>
          </w:rPr>
          <w:t>24</w:t>
        </w:r>
        <w:r>
          <w:rPr>
            <w:webHidden/>
          </w:rPr>
          <w:fldChar w:fldCharType="end"/>
        </w:r>
      </w:hyperlink>
    </w:p>
    <w:p w14:paraId="00C176DF" w14:textId="0550D58F" w:rsidR="00A124D5" w:rsidRDefault="00A124D5">
      <w:pPr>
        <w:pStyle w:val="TOC1"/>
        <w:rPr>
          <w:rFonts w:asciiTheme="minorHAnsi" w:eastAsiaTheme="minorEastAsia" w:hAnsiTheme="minorHAnsi" w:cstheme="minorBidi"/>
          <w:bCs w:val="0"/>
          <w:sz w:val="22"/>
          <w:szCs w:val="22"/>
          <w:lang w:eastAsia="en-GB"/>
        </w:rPr>
      </w:pPr>
      <w:hyperlink w:anchor="_Toc132635600" w:history="1">
        <w:r w:rsidRPr="00677E45">
          <w:rPr>
            <w:rStyle w:val="Hyperlink"/>
            <w:b/>
          </w:rPr>
          <w:t>Appendix 2: Other Relevant Acts of Parliament</w:t>
        </w:r>
        <w:r>
          <w:rPr>
            <w:webHidden/>
          </w:rPr>
          <w:tab/>
        </w:r>
        <w:r>
          <w:rPr>
            <w:webHidden/>
          </w:rPr>
          <w:fldChar w:fldCharType="begin"/>
        </w:r>
        <w:r>
          <w:rPr>
            <w:webHidden/>
          </w:rPr>
          <w:instrText xml:space="preserve"> PAGEREF _Toc132635600 \h </w:instrText>
        </w:r>
        <w:r>
          <w:rPr>
            <w:webHidden/>
          </w:rPr>
        </w:r>
        <w:r>
          <w:rPr>
            <w:webHidden/>
          </w:rPr>
          <w:fldChar w:fldCharType="separate"/>
        </w:r>
        <w:r>
          <w:rPr>
            <w:webHidden/>
          </w:rPr>
          <w:t>27</w:t>
        </w:r>
        <w:r>
          <w:rPr>
            <w:webHidden/>
          </w:rPr>
          <w:fldChar w:fldCharType="end"/>
        </w:r>
      </w:hyperlink>
    </w:p>
    <w:p w14:paraId="18F9E81C" w14:textId="107B9638" w:rsidR="00A124D5" w:rsidRDefault="00A124D5">
      <w:pPr>
        <w:pStyle w:val="TOC1"/>
        <w:rPr>
          <w:rFonts w:asciiTheme="minorHAnsi" w:eastAsiaTheme="minorEastAsia" w:hAnsiTheme="minorHAnsi" w:cstheme="minorBidi"/>
          <w:bCs w:val="0"/>
          <w:sz w:val="22"/>
          <w:szCs w:val="22"/>
          <w:lang w:eastAsia="en-GB"/>
        </w:rPr>
      </w:pPr>
      <w:hyperlink w:anchor="_Toc132635601" w:history="1">
        <w:r w:rsidRPr="00677E45">
          <w:rPr>
            <w:rStyle w:val="Hyperlink"/>
            <w:b/>
          </w:rPr>
          <w:t>Appendix 3: Disclosure of Personal Patient Information</w:t>
        </w:r>
        <w:r>
          <w:rPr>
            <w:webHidden/>
          </w:rPr>
          <w:tab/>
        </w:r>
        <w:r>
          <w:rPr>
            <w:webHidden/>
          </w:rPr>
          <w:fldChar w:fldCharType="begin"/>
        </w:r>
        <w:r>
          <w:rPr>
            <w:webHidden/>
          </w:rPr>
          <w:instrText xml:space="preserve"> PAGEREF _Toc132635601 \h </w:instrText>
        </w:r>
        <w:r>
          <w:rPr>
            <w:webHidden/>
          </w:rPr>
        </w:r>
        <w:r>
          <w:rPr>
            <w:webHidden/>
          </w:rPr>
          <w:fldChar w:fldCharType="separate"/>
        </w:r>
        <w:r>
          <w:rPr>
            <w:webHidden/>
          </w:rPr>
          <w:t>29</w:t>
        </w:r>
        <w:r>
          <w:rPr>
            <w:webHidden/>
          </w:rPr>
          <w:fldChar w:fldCharType="end"/>
        </w:r>
      </w:hyperlink>
    </w:p>
    <w:p w14:paraId="7E8526E0" w14:textId="464A3C42" w:rsidR="00ED0BD0" w:rsidRDefault="004B51FF" w:rsidP="00DA1328">
      <w:pPr>
        <w:tabs>
          <w:tab w:val="left" w:pos="720"/>
        </w:tabs>
        <w:jc w:val="center"/>
        <w:rPr>
          <w:rFonts w:cs="Arial"/>
          <w:b/>
          <w:bCs/>
          <w:sz w:val="32"/>
          <w:szCs w:val="32"/>
        </w:rPr>
      </w:pPr>
      <w:r w:rsidRPr="00DA1328">
        <w:rPr>
          <w:rFonts w:cs="Arial"/>
          <w:bCs/>
          <w:szCs w:val="24"/>
        </w:rPr>
        <w:fldChar w:fldCharType="end"/>
      </w:r>
    </w:p>
    <w:p w14:paraId="7E8526E1" w14:textId="77777777" w:rsidR="00ED0BD0" w:rsidRPr="00C4316D" w:rsidRDefault="00ED0BD0" w:rsidP="00ED0BD0">
      <w:pPr>
        <w:tabs>
          <w:tab w:val="left" w:pos="720"/>
        </w:tabs>
        <w:rPr>
          <w:rFonts w:cs="Arial"/>
          <w:b/>
          <w:bCs/>
          <w:caps/>
        </w:rPr>
      </w:pPr>
      <w:r>
        <w:rPr>
          <w:rFonts w:cs="Arial"/>
          <w:b/>
          <w:bCs/>
          <w:sz w:val="32"/>
          <w:szCs w:val="32"/>
        </w:rPr>
        <w:br w:type="page"/>
      </w:r>
    </w:p>
    <w:p w14:paraId="7E8526E2" w14:textId="77777777"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0" w:name="_Toc136170337"/>
      <w:bookmarkStart w:id="1" w:name="_Toc132635585"/>
      <w:r w:rsidRPr="002748EF">
        <w:rPr>
          <w:rFonts w:cs="Arial"/>
          <w:b/>
          <w:bCs/>
          <w:sz w:val="28"/>
          <w:szCs w:val="28"/>
        </w:rPr>
        <w:t>Introduction</w:t>
      </w:r>
      <w:bookmarkEnd w:id="0"/>
      <w:bookmarkEnd w:id="1"/>
    </w:p>
    <w:p w14:paraId="7E8526E3" w14:textId="77777777" w:rsidR="005B1CD3" w:rsidRPr="00F12E5F" w:rsidRDefault="005B1CD3" w:rsidP="00A86741">
      <w:pPr>
        <w:numPr>
          <w:ilvl w:val="1"/>
          <w:numId w:val="11"/>
        </w:numPr>
        <w:spacing w:after="240"/>
        <w:jc w:val="both"/>
        <w:rPr>
          <w:rFonts w:cs="Arial"/>
        </w:rPr>
      </w:pPr>
      <w:r w:rsidRPr="124486BD">
        <w:rPr>
          <w:rFonts w:cs="Arial"/>
        </w:rPr>
        <w:t xml:space="preserve">The </w:t>
      </w:r>
      <w:bookmarkStart w:id="2" w:name="_Int_d9IsGAkx"/>
      <w:proofErr w:type="gramStart"/>
      <w:r w:rsidRPr="124486BD">
        <w:rPr>
          <w:rFonts w:cs="Arial"/>
        </w:rPr>
        <w:t>South East</w:t>
      </w:r>
      <w:bookmarkEnd w:id="2"/>
      <w:proofErr w:type="gramEnd"/>
      <w:r w:rsidRPr="124486BD">
        <w:rPr>
          <w:rFonts w:cs="Arial"/>
        </w:rPr>
        <w:t xml:space="preserve"> Coast Ambulance Service NHS </w:t>
      </w:r>
      <w:r w:rsidR="00F27063" w:rsidRPr="124486BD">
        <w:rPr>
          <w:rFonts w:cs="Arial"/>
        </w:rPr>
        <w:t xml:space="preserve">Foundation </w:t>
      </w:r>
      <w:r w:rsidRPr="124486BD">
        <w:rPr>
          <w:rFonts w:cs="Arial"/>
        </w:rPr>
        <w:t>Trust (‘the Trust’) has a legal obligation to comply with all relevant legislation in respect of Data, Information and IT Security. It also has a duty to comply with guidance issued by the Department of Health, the Information Commissioner, other advisory groups to the NHS and guidance issued by professional bodies.</w:t>
      </w:r>
    </w:p>
    <w:p w14:paraId="7341AA10" w14:textId="77777777" w:rsidR="00343CB0" w:rsidRDefault="005B1CD3">
      <w:pPr>
        <w:numPr>
          <w:ilvl w:val="1"/>
          <w:numId w:val="11"/>
        </w:numPr>
        <w:spacing w:after="240"/>
        <w:jc w:val="both"/>
        <w:rPr>
          <w:rFonts w:cs="Arial"/>
        </w:rPr>
      </w:pPr>
      <w:bookmarkStart w:id="3" w:name="_Int_F8pn5B86"/>
      <w:proofErr w:type="gramStart"/>
      <w:r w:rsidRPr="124486BD">
        <w:rPr>
          <w:rFonts w:cs="Arial"/>
        </w:rPr>
        <w:t>For the purpose of</w:t>
      </w:r>
      <w:bookmarkEnd w:id="3"/>
      <w:proofErr w:type="gramEnd"/>
      <w:r w:rsidRPr="124486BD">
        <w:rPr>
          <w:rFonts w:cs="Arial"/>
        </w:rPr>
        <w:t xml:space="preserve"> this Policy other relevant legislation and appropriate guidance may be referenced. </w:t>
      </w:r>
    </w:p>
    <w:p w14:paraId="7E8526E4" w14:textId="64A7E1AF" w:rsidR="003B20EE" w:rsidRPr="00D76145" w:rsidRDefault="005B1CD3" w:rsidP="00D76145">
      <w:pPr>
        <w:numPr>
          <w:ilvl w:val="1"/>
          <w:numId w:val="11"/>
        </w:numPr>
        <w:tabs>
          <w:tab w:val="left" w:pos="1162"/>
        </w:tabs>
        <w:spacing w:after="240"/>
        <w:jc w:val="both"/>
        <w:rPr>
          <w:rFonts w:cs="Arial"/>
        </w:rPr>
      </w:pPr>
      <w:bookmarkStart w:id="4" w:name="_Int_orreZuGS"/>
      <w:proofErr w:type="gramStart"/>
      <w:r w:rsidRPr="124486BD">
        <w:rPr>
          <w:rFonts w:cs="Arial"/>
        </w:rPr>
        <w:t>A brief summary</w:t>
      </w:r>
      <w:bookmarkEnd w:id="4"/>
      <w:proofErr w:type="gramEnd"/>
      <w:r w:rsidRPr="124486BD">
        <w:rPr>
          <w:rFonts w:cs="Arial"/>
        </w:rPr>
        <w:t xml:space="preserve"> of the </w:t>
      </w:r>
      <w:r w:rsidR="007E4D7D" w:rsidRPr="124486BD">
        <w:rPr>
          <w:rFonts w:cs="Arial"/>
        </w:rPr>
        <w:t>Data Protection Act 2018 (</w:t>
      </w:r>
      <w:r w:rsidR="00D76145" w:rsidRPr="124486BD">
        <w:rPr>
          <w:rFonts w:cs="Arial"/>
        </w:rPr>
        <w:t>including</w:t>
      </w:r>
      <w:r w:rsidR="007E4D7D" w:rsidRPr="124486BD">
        <w:rPr>
          <w:rFonts w:cs="Arial"/>
        </w:rPr>
        <w:t xml:space="preserve"> the UK General Data Protection Regulation)</w:t>
      </w:r>
      <w:r w:rsidRPr="124486BD">
        <w:rPr>
          <w:rFonts w:cs="Arial"/>
        </w:rPr>
        <w:t>, associated legislation and guidelines is provided in Appendix 1.</w:t>
      </w:r>
    </w:p>
    <w:p w14:paraId="36D46111" w14:textId="3A5551D0" w:rsidR="173DDBCD" w:rsidRDefault="173DDBCD" w:rsidP="18BB3A9C">
      <w:pPr>
        <w:numPr>
          <w:ilvl w:val="1"/>
          <w:numId w:val="11"/>
        </w:numPr>
        <w:tabs>
          <w:tab w:val="left" w:pos="1162"/>
        </w:tabs>
        <w:spacing w:after="240"/>
        <w:jc w:val="both"/>
        <w:rPr>
          <w:rFonts w:cs="Arial"/>
        </w:rPr>
      </w:pPr>
      <w:r w:rsidRPr="124486BD">
        <w:rPr>
          <w:rFonts w:cs="Arial"/>
        </w:rPr>
        <w:t>This policy also takes account of the</w:t>
      </w:r>
      <w:r w:rsidR="1922897E" w:rsidRPr="124486BD">
        <w:rPr>
          <w:rFonts w:cs="Arial"/>
        </w:rPr>
        <w:t xml:space="preserve"> </w:t>
      </w:r>
      <w:r w:rsidRPr="124486BD">
        <w:rPr>
          <w:rFonts w:cs="Arial"/>
        </w:rPr>
        <w:t>Data Use and Access Act 2025,</w:t>
      </w:r>
      <w:r w:rsidR="44895F6D" w:rsidRPr="124486BD">
        <w:rPr>
          <w:rFonts w:cs="Arial"/>
        </w:rPr>
        <w:t xml:space="preserve"> which provides an updated framework to support </w:t>
      </w:r>
      <w:r w:rsidR="4FA0DB75" w:rsidRPr="124486BD">
        <w:rPr>
          <w:rFonts w:cs="Arial"/>
        </w:rPr>
        <w:t>safe, secure access of data.</w:t>
      </w:r>
      <w:r w:rsidR="708CF9E0" w:rsidRPr="124486BD">
        <w:rPr>
          <w:rFonts w:cs="Arial"/>
        </w:rPr>
        <w:t xml:space="preserve"> Particularly relevant is the sharing of data for public benefit in health </w:t>
      </w:r>
      <w:r w:rsidR="51FC5E93" w:rsidRPr="124486BD">
        <w:rPr>
          <w:rFonts w:cs="Arial"/>
        </w:rPr>
        <w:t>and social care.</w:t>
      </w:r>
      <w:r w:rsidR="58057458" w:rsidRPr="124486BD">
        <w:rPr>
          <w:rFonts w:cs="Arial"/>
        </w:rPr>
        <w:t xml:space="preserve"> Note. This Act operates alo</w:t>
      </w:r>
      <w:r w:rsidR="552A6D4F" w:rsidRPr="124486BD">
        <w:rPr>
          <w:rFonts w:cs="Arial"/>
        </w:rPr>
        <w:t>ng</w:t>
      </w:r>
      <w:r w:rsidR="58057458" w:rsidRPr="124486BD">
        <w:rPr>
          <w:rFonts w:cs="Arial"/>
        </w:rPr>
        <w:t>side DPA 2018 and UK G</w:t>
      </w:r>
      <w:r w:rsidR="7689EFAB" w:rsidRPr="124486BD">
        <w:rPr>
          <w:rFonts w:cs="Arial"/>
        </w:rPr>
        <w:t xml:space="preserve">DPR and all </w:t>
      </w:r>
      <w:r w:rsidR="0E0B33FE" w:rsidRPr="124486BD">
        <w:rPr>
          <w:rFonts w:cs="Arial"/>
        </w:rPr>
        <w:t>these provisions and safeguards continue to apply.</w:t>
      </w:r>
    </w:p>
    <w:p w14:paraId="7E8526E5" w14:textId="77777777" w:rsidR="00ED0BD0" w:rsidRPr="0050716E"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5" w:name="_Toc132635586"/>
      <w:r w:rsidRPr="002748EF">
        <w:rPr>
          <w:rFonts w:cs="Arial"/>
          <w:b/>
          <w:bCs/>
          <w:sz w:val="28"/>
          <w:szCs w:val="28"/>
        </w:rPr>
        <w:t>Aims and Objectives</w:t>
      </w:r>
      <w:bookmarkEnd w:id="5"/>
    </w:p>
    <w:p w14:paraId="7E8526E6" w14:textId="711D369F" w:rsidR="00ED0BD0" w:rsidRPr="00F12E5F" w:rsidRDefault="005B1CD3" w:rsidP="00A86741">
      <w:pPr>
        <w:numPr>
          <w:ilvl w:val="1"/>
          <w:numId w:val="11"/>
        </w:numPr>
        <w:spacing w:after="240"/>
        <w:jc w:val="both"/>
        <w:rPr>
          <w:rFonts w:cs="Arial"/>
        </w:rPr>
      </w:pPr>
      <w:bookmarkStart w:id="6" w:name="_Toc220833939"/>
      <w:bookmarkStart w:id="7" w:name="_Toc220834110"/>
      <w:r w:rsidRPr="00F12E5F">
        <w:rPr>
          <w:rFonts w:cs="Arial"/>
        </w:rPr>
        <w:t xml:space="preserve">This Data Protection Policy aims to detail how the Trust will meet its legal obligations and NHS requirements concerning confidentiality and information security standards. The requirements within the policy are primarily based upon the Data Protection Act </w:t>
      </w:r>
      <w:r w:rsidR="00343CB0">
        <w:rPr>
          <w:rFonts w:cs="Arial"/>
        </w:rPr>
        <w:t xml:space="preserve">2018 and </w:t>
      </w:r>
      <w:r w:rsidR="00451776">
        <w:rPr>
          <w:rFonts w:cs="Arial"/>
        </w:rPr>
        <w:t xml:space="preserve">UK </w:t>
      </w:r>
      <w:r w:rsidR="00343CB0">
        <w:rPr>
          <w:rFonts w:cs="Arial"/>
        </w:rPr>
        <w:t xml:space="preserve">General Data Protection </w:t>
      </w:r>
      <w:r w:rsidR="00852541">
        <w:rPr>
          <w:rFonts w:cs="Arial"/>
        </w:rPr>
        <w:t>Regulation</w:t>
      </w:r>
      <w:r w:rsidR="00343CB0">
        <w:rPr>
          <w:rFonts w:cs="Arial"/>
        </w:rPr>
        <w:t xml:space="preserve"> which are key </w:t>
      </w:r>
      <w:r w:rsidR="00852541">
        <w:rPr>
          <w:rFonts w:cs="Arial"/>
        </w:rPr>
        <w:t xml:space="preserve">pieces of </w:t>
      </w:r>
      <w:r w:rsidRPr="00F12E5F">
        <w:rPr>
          <w:rFonts w:cs="Arial"/>
        </w:rPr>
        <w:t>legislation covering information security and confidentiality of personal information.</w:t>
      </w:r>
      <w:bookmarkEnd w:id="6"/>
      <w:bookmarkEnd w:id="7"/>
    </w:p>
    <w:p w14:paraId="7E8526E7" w14:textId="77777777"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8" w:name="_Toc132635587"/>
      <w:r w:rsidRPr="002748EF">
        <w:rPr>
          <w:rFonts w:cs="Arial"/>
          <w:b/>
          <w:bCs/>
          <w:sz w:val="28"/>
          <w:szCs w:val="28"/>
        </w:rPr>
        <w:t>Definitions</w:t>
      </w:r>
      <w:bookmarkEnd w:id="8"/>
    </w:p>
    <w:p w14:paraId="7E8526E8" w14:textId="1568B63A" w:rsidR="005B1CD3" w:rsidRPr="00F12E5F" w:rsidRDefault="00D32EC9" w:rsidP="00A86741">
      <w:pPr>
        <w:numPr>
          <w:ilvl w:val="1"/>
          <w:numId w:val="11"/>
        </w:numPr>
        <w:spacing w:after="240"/>
        <w:jc w:val="both"/>
        <w:rPr>
          <w:rFonts w:cs="Arial"/>
        </w:rPr>
      </w:pPr>
      <w:r>
        <w:rPr>
          <w:rFonts w:cs="Arial"/>
          <w:b/>
        </w:rPr>
        <w:t>D</w:t>
      </w:r>
      <w:r w:rsidR="005B1CD3" w:rsidRPr="00F12E5F">
        <w:rPr>
          <w:rFonts w:cs="Arial"/>
          <w:b/>
        </w:rPr>
        <w:t>ata protection principles</w:t>
      </w:r>
      <w:r w:rsidR="007D53A3">
        <w:rPr>
          <w:rFonts w:cs="Arial"/>
        </w:rPr>
        <w:t xml:space="preserve">: </w:t>
      </w:r>
      <w:r w:rsidR="005B1CD3" w:rsidRPr="00F12E5F">
        <w:rPr>
          <w:rFonts w:cs="Arial"/>
        </w:rPr>
        <w:t>The</w:t>
      </w:r>
      <w:r w:rsidR="00593954">
        <w:rPr>
          <w:rFonts w:cs="Arial"/>
        </w:rPr>
        <w:t xml:space="preserve"> </w:t>
      </w:r>
      <w:r w:rsidR="005B1CD3" w:rsidRPr="00F12E5F">
        <w:rPr>
          <w:rFonts w:cs="Arial"/>
        </w:rPr>
        <w:t>principles of good practice</w:t>
      </w:r>
      <w:r w:rsidR="00593954">
        <w:rPr>
          <w:rFonts w:cs="Arial"/>
        </w:rPr>
        <w:t xml:space="preserve"> are detailed within the </w:t>
      </w:r>
      <w:r w:rsidR="005B1CD3" w:rsidRPr="00F12E5F">
        <w:rPr>
          <w:rFonts w:cs="Arial"/>
        </w:rPr>
        <w:t xml:space="preserve">Data Protection Act </w:t>
      </w:r>
      <w:r w:rsidR="00593954">
        <w:rPr>
          <w:rFonts w:cs="Arial"/>
        </w:rPr>
        <w:t xml:space="preserve">2018 </w:t>
      </w:r>
      <w:r w:rsidR="003A597C" w:rsidRPr="00D76145">
        <w:rPr>
          <w:rFonts w:cs="Arial"/>
        </w:rPr>
        <w:t>(including the UK General Data Protection Regulation)</w:t>
      </w:r>
      <w:r w:rsidR="005B1CD3" w:rsidRPr="00F12E5F">
        <w:rPr>
          <w:rFonts w:cs="Arial"/>
        </w:rPr>
        <w:t xml:space="preserve"> which must be adhered to when processing personal </w:t>
      </w:r>
      <w:r w:rsidR="005B1CD3" w:rsidRPr="00F26AC2">
        <w:rPr>
          <w:rFonts w:cs="Arial"/>
        </w:rPr>
        <w:t xml:space="preserve">data (see </w:t>
      </w:r>
      <w:r w:rsidR="00362B8F" w:rsidRPr="00F26AC2">
        <w:rPr>
          <w:rFonts w:cs="Arial"/>
        </w:rPr>
        <w:t>Section 5</w:t>
      </w:r>
      <w:r w:rsidR="005B1CD3" w:rsidRPr="00F26AC2">
        <w:rPr>
          <w:rFonts w:cs="Arial"/>
        </w:rPr>
        <w:t>).</w:t>
      </w:r>
    </w:p>
    <w:p w14:paraId="7E8526E9" w14:textId="6A10839A" w:rsidR="005B1CD3" w:rsidRPr="00F12E5F" w:rsidRDefault="00D32EC9" w:rsidP="00A86741">
      <w:pPr>
        <w:numPr>
          <w:ilvl w:val="1"/>
          <w:numId w:val="11"/>
        </w:numPr>
        <w:spacing w:after="240"/>
        <w:jc w:val="both"/>
        <w:rPr>
          <w:rFonts w:cs="Arial"/>
        </w:rPr>
      </w:pPr>
      <w:r w:rsidRPr="18BB3A9C">
        <w:rPr>
          <w:rFonts w:cs="Arial"/>
          <w:b/>
          <w:bCs/>
        </w:rPr>
        <w:t>D</w:t>
      </w:r>
      <w:r w:rsidR="005B1CD3" w:rsidRPr="18BB3A9C">
        <w:rPr>
          <w:rFonts w:cs="Arial"/>
          <w:b/>
          <w:bCs/>
        </w:rPr>
        <w:t xml:space="preserve">ata controller: </w:t>
      </w:r>
      <w:r w:rsidR="00E351C6" w:rsidRPr="18BB3A9C">
        <w:rPr>
          <w:rFonts w:cs="Arial"/>
        </w:rPr>
        <w:t>means</w:t>
      </w:r>
      <w:r w:rsidR="005B1CD3" w:rsidRPr="18BB3A9C">
        <w:rPr>
          <w:rFonts w:cs="Arial"/>
        </w:rPr>
        <w:t>, “... a person who (either alone or jointly or in common with other persons) determines the purposes for which and the manner in which any personal data are, or are to be, processed”</w:t>
      </w:r>
    </w:p>
    <w:p w14:paraId="36F5AC7E" w14:textId="5B551DF7" w:rsidR="5CFF2DF4" w:rsidRDefault="79181237" w:rsidP="18BB3A9C">
      <w:pPr>
        <w:spacing w:after="240"/>
        <w:jc w:val="both"/>
        <w:rPr>
          <w:rFonts w:cs="Arial"/>
          <w:b/>
          <w:bCs/>
          <w:color w:val="000000" w:themeColor="text1"/>
        </w:rPr>
      </w:pPr>
      <w:r w:rsidRPr="124486BD">
        <w:rPr>
          <w:rFonts w:cs="Arial"/>
          <w:b/>
          <w:bCs/>
          <w:color w:val="000000" w:themeColor="text1"/>
        </w:rPr>
        <w:t xml:space="preserve">3.3 </w:t>
      </w:r>
      <w:r w:rsidR="5CFF2DF4" w:rsidRPr="124486BD">
        <w:rPr>
          <w:rFonts w:cs="Arial"/>
          <w:b/>
          <w:bCs/>
          <w:color w:val="000000" w:themeColor="text1"/>
        </w:rPr>
        <w:t>Data Access and Reuse:</w:t>
      </w:r>
    </w:p>
    <w:p w14:paraId="33FAE34D" w14:textId="1CFF861A" w:rsidR="51F23AF3" w:rsidRDefault="51F23AF3" w:rsidP="18BB3A9C">
      <w:pPr>
        <w:spacing w:after="240"/>
        <w:jc w:val="both"/>
        <w:rPr>
          <w:rFonts w:cs="Arial"/>
          <w:color w:val="000000" w:themeColor="text1"/>
        </w:rPr>
      </w:pPr>
      <w:r w:rsidRPr="124486BD">
        <w:rPr>
          <w:rFonts w:cs="Arial"/>
          <w:color w:val="000000" w:themeColor="text1"/>
        </w:rPr>
        <w:t xml:space="preserve">The controlled provision of access of data, including personal data where lawful, </w:t>
      </w:r>
      <w:r w:rsidR="3970C66E" w:rsidRPr="124486BD">
        <w:rPr>
          <w:rFonts w:cs="Arial"/>
          <w:color w:val="000000" w:themeColor="text1"/>
        </w:rPr>
        <w:t>for defined purposes such as direct care, service planning</w:t>
      </w:r>
      <w:r w:rsidR="7F4D22AE" w:rsidRPr="124486BD">
        <w:rPr>
          <w:rFonts w:cs="Arial"/>
          <w:color w:val="000000" w:themeColor="text1"/>
        </w:rPr>
        <w:t>, commissioning, public health, research and system improvement, in accordance applicab</w:t>
      </w:r>
      <w:r w:rsidR="7DFCF6D9" w:rsidRPr="124486BD">
        <w:rPr>
          <w:rFonts w:cs="Arial"/>
          <w:color w:val="000000" w:themeColor="text1"/>
        </w:rPr>
        <w:t>le legislation.</w:t>
      </w:r>
    </w:p>
    <w:p w14:paraId="7358C141" w14:textId="35577FE6" w:rsidR="114A095B" w:rsidRDefault="114A095B" w:rsidP="18BB3A9C">
      <w:pPr>
        <w:spacing w:after="240"/>
        <w:jc w:val="both"/>
        <w:rPr>
          <w:rFonts w:cs="Arial"/>
        </w:rPr>
      </w:pPr>
      <w:r w:rsidRPr="124486BD">
        <w:rPr>
          <w:rFonts w:cs="Arial"/>
        </w:rPr>
        <w:t>Trusted Research Environment (TRE)</w:t>
      </w:r>
    </w:p>
    <w:p w14:paraId="6FDA995B" w14:textId="0E127528" w:rsidR="00451776" w:rsidRPr="003203C9" w:rsidRDefault="114A095B" w:rsidP="124486BD">
      <w:pPr>
        <w:spacing w:after="240"/>
        <w:jc w:val="both"/>
        <w:rPr>
          <w:rFonts w:cs="Arial"/>
        </w:rPr>
      </w:pPr>
      <w:r w:rsidRPr="124486BD">
        <w:rPr>
          <w:rFonts w:cs="Arial"/>
        </w:rPr>
        <w:t>A secure computing environment that provides controlled access to data for approved research a</w:t>
      </w:r>
      <w:r w:rsidR="400ABBA3" w:rsidRPr="124486BD">
        <w:rPr>
          <w:rFonts w:cs="Arial"/>
        </w:rPr>
        <w:t xml:space="preserve">nd analytical purposes, preventing unauthorised use or disclosure and supporting compliance </w:t>
      </w:r>
      <w:r w:rsidR="2F7A2DA9" w:rsidRPr="124486BD">
        <w:rPr>
          <w:rFonts w:cs="Arial"/>
        </w:rPr>
        <w:t>with data protection law.</w:t>
      </w:r>
      <w:r w:rsidR="7C3948A5" w:rsidRPr="124486BD">
        <w:rPr>
          <w:rFonts w:cs="Arial"/>
        </w:rPr>
        <w:t xml:space="preserve"> </w:t>
      </w:r>
    </w:p>
    <w:p w14:paraId="368196D6" w14:textId="6EA53BEE" w:rsidR="00451776" w:rsidRPr="003203C9" w:rsidRDefault="7C3948A5" w:rsidP="124486BD">
      <w:pPr>
        <w:spacing w:after="240"/>
        <w:jc w:val="both"/>
        <w:rPr>
          <w:rFonts w:cs="Arial"/>
        </w:rPr>
      </w:pPr>
      <w:r w:rsidRPr="124486BD">
        <w:rPr>
          <w:rFonts w:cs="Arial"/>
          <w:b/>
          <w:bCs/>
        </w:rPr>
        <w:t xml:space="preserve">3.4 </w:t>
      </w:r>
      <w:r w:rsidR="00D32EC9" w:rsidRPr="124486BD">
        <w:rPr>
          <w:rFonts w:cs="Arial"/>
          <w:b/>
          <w:bCs/>
        </w:rPr>
        <w:t>P</w:t>
      </w:r>
      <w:r w:rsidR="005B1CD3" w:rsidRPr="124486BD">
        <w:rPr>
          <w:rFonts w:cs="Arial"/>
          <w:b/>
          <w:bCs/>
        </w:rPr>
        <w:t>ersonal data</w:t>
      </w:r>
      <w:r w:rsidR="005B1CD3" w:rsidRPr="124486BD">
        <w:rPr>
          <w:rFonts w:cs="Arial"/>
        </w:rPr>
        <w:t>: means “</w:t>
      </w:r>
      <w:r w:rsidR="003203C9" w:rsidRPr="124486BD">
        <w:rPr>
          <w:rFonts w:cs="Arial"/>
        </w:rPr>
        <w:t xml:space="preserve">any information relating to an identified or identifiable natural person (‘data subject’); an identifiable natural person is one who can be identified, directly or indirectly, in particular by reference to an identifier such as a name, an identification number, </w:t>
      </w:r>
      <w:r w:rsidR="00451776" w:rsidRPr="124486BD">
        <w:rPr>
          <w:rFonts w:cs="Arial"/>
        </w:rPr>
        <w:t xml:space="preserve">email address, telephone number, </w:t>
      </w:r>
      <w:r w:rsidR="003203C9" w:rsidRPr="124486BD">
        <w:rPr>
          <w:rFonts w:cs="Arial"/>
        </w:rPr>
        <w:t>location data, an online identifier or to one or more factors specific to the physical, physiological, genetic, mental, economic, cultural or social identity of that natural person”.</w:t>
      </w:r>
    </w:p>
    <w:p w14:paraId="55D7AE11" w14:textId="5C2465D8" w:rsidR="001E5AF9" w:rsidRPr="001E5AF9" w:rsidRDefault="0AAAAA14" w:rsidP="124486BD">
      <w:pPr>
        <w:jc w:val="both"/>
        <w:rPr>
          <w:rFonts w:cs="Arial"/>
        </w:rPr>
      </w:pPr>
      <w:r w:rsidRPr="124486BD">
        <w:rPr>
          <w:rFonts w:cs="Arial"/>
          <w:b/>
          <w:bCs/>
        </w:rPr>
        <w:t xml:space="preserve">3.5 </w:t>
      </w:r>
      <w:r w:rsidR="003203C9" w:rsidRPr="124486BD">
        <w:rPr>
          <w:rFonts w:cs="Arial"/>
          <w:b/>
          <w:bCs/>
        </w:rPr>
        <w:t>Special Categories of Personal D</w:t>
      </w:r>
      <w:r w:rsidR="005B1CD3" w:rsidRPr="124486BD">
        <w:rPr>
          <w:rFonts w:cs="Arial"/>
          <w:b/>
          <w:bCs/>
        </w:rPr>
        <w:t>ata</w:t>
      </w:r>
      <w:r w:rsidR="005B1CD3" w:rsidRPr="124486BD">
        <w:rPr>
          <w:rFonts w:cs="Arial"/>
        </w:rPr>
        <w:t xml:space="preserve"> means “</w:t>
      </w:r>
      <w:r w:rsidR="001E5AF9" w:rsidRPr="124486BD">
        <w:rPr>
          <w:rFonts w:cs="Arial"/>
        </w:rPr>
        <w:t>personal data</w:t>
      </w:r>
    </w:p>
    <w:p w14:paraId="4E083C7D" w14:textId="7177CF04" w:rsidR="001E5AF9" w:rsidRPr="001E5AF9" w:rsidRDefault="001E5AF9" w:rsidP="124486BD">
      <w:pPr>
        <w:spacing w:after="120"/>
        <w:jc w:val="both"/>
        <w:rPr>
          <w:rFonts w:cs="Arial"/>
        </w:rPr>
      </w:pPr>
      <w:r w:rsidRPr="124486BD">
        <w:rPr>
          <w:rFonts w:cs="Arial"/>
        </w:rPr>
        <w:t xml:space="preserve"> </w:t>
      </w:r>
      <w:r w:rsidR="4B3E50D5" w:rsidRPr="124486BD">
        <w:rPr>
          <w:rFonts w:cs="Arial"/>
        </w:rPr>
        <w:t xml:space="preserve">                       </w:t>
      </w:r>
      <w:r w:rsidRPr="124486BD">
        <w:rPr>
          <w:rFonts w:cs="Arial"/>
        </w:rPr>
        <w:t xml:space="preserve">about an </w:t>
      </w:r>
      <w:bookmarkStart w:id="9" w:name="_Int_KS8wpRkx"/>
      <w:r w:rsidR="2DF92537" w:rsidRPr="124486BD">
        <w:rPr>
          <w:rFonts w:cs="Arial"/>
        </w:rPr>
        <w:t>individual</w:t>
      </w:r>
      <w:r w:rsidRPr="124486BD">
        <w:rPr>
          <w:rFonts w:cs="Arial"/>
        </w:rPr>
        <w:t>:</w:t>
      </w:r>
      <w:bookmarkEnd w:id="9"/>
    </w:p>
    <w:p w14:paraId="2D056FB6" w14:textId="77777777" w:rsidR="001E5AF9" w:rsidRPr="001E5AF9" w:rsidRDefault="001E5AF9" w:rsidP="00FE3B43">
      <w:pPr>
        <w:numPr>
          <w:ilvl w:val="1"/>
          <w:numId w:val="17"/>
        </w:numPr>
        <w:spacing w:after="240"/>
        <w:ind w:left="1551"/>
        <w:jc w:val="both"/>
        <w:rPr>
          <w:rFonts w:cs="Arial"/>
        </w:rPr>
      </w:pPr>
      <w:proofErr w:type="gramStart"/>
      <w:r w:rsidRPr="001E5AF9">
        <w:rPr>
          <w:rFonts w:cs="Arial"/>
        </w:rPr>
        <w:t>race;</w:t>
      </w:r>
      <w:proofErr w:type="gramEnd"/>
    </w:p>
    <w:p w14:paraId="449B6CF6" w14:textId="77777777" w:rsidR="001E5AF9" w:rsidRPr="001E5AF9" w:rsidRDefault="001E5AF9" w:rsidP="00FE3B43">
      <w:pPr>
        <w:numPr>
          <w:ilvl w:val="1"/>
          <w:numId w:val="17"/>
        </w:numPr>
        <w:spacing w:after="240"/>
        <w:ind w:left="1551"/>
        <w:jc w:val="both"/>
        <w:rPr>
          <w:rFonts w:cs="Arial"/>
        </w:rPr>
      </w:pPr>
      <w:r w:rsidRPr="001E5AF9">
        <w:rPr>
          <w:rFonts w:cs="Arial"/>
        </w:rPr>
        <w:t xml:space="preserve">ethnic </w:t>
      </w:r>
      <w:proofErr w:type="gramStart"/>
      <w:r w:rsidRPr="001E5AF9">
        <w:rPr>
          <w:rFonts w:cs="Arial"/>
        </w:rPr>
        <w:t>origin;</w:t>
      </w:r>
      <w:proofErr w:type="gramEnd"/>
    </w:p>
    <w:p w14:paraId="19AFFD06" w14:textId="77777777" w:rsidR="001E5AF9" w:rsidRPr="001E5AF9" w:rsidRDefault="001E5AF9" w:rsidP="00FE3B43">
      <w:pPr>
        <w:numPr>
          <w:ilvl w:val="1"/>
          <w:numId w:val="17"/>
        </w:numPr>
        <w:spacing w:after="240"/>
        <w:ind w:left="1551"/>
        <w:jc w:val="both"/>
        <w:rPr>
          <w:rFonts w:cs="Arial"/>
        </w:rPr>
      </w:pPr>
      <w:r w:rsidRPr="001E5AF9">
        <w:rPr>
          <w:rFonts w:cs="Arial"/>
        </w:rPr>
        <w:t xml:space="preserve">political </w:t>
      </w:r>
      <w:proofErr w:type="gramStart"/>
      <w:r w:rsidRPr="001E5AF9">
        <w:rPr>
          <w:rFonts w:cs="Arial"/>
        </w:rPr>
        <w:t>opinions;</w:t>
      </w:r>
      <w:proofErr w:type="gramEnd"/>
    </w:p>
    <w:p w14:paraId="0F8A98FD" w14:textId="77777777" w:rsidR="001E5AF9" w:rsidRPr="001E5AF9" w:rsidRDefault="001E5AF9" w:rsidP="00FE3B43">
      <w:pPr>
        <w:numPr>
          <w:ilvl w:val="1"/>
          <w:numId w:val="17"/>
        </w:numPr>
        <w:spacing w:after="240"/>
        <w:ind w:left="1551"/>
        <w:jc w:val="both"/>
        <w:rPr>
          <w:rFonts w:cs="Arial"/>
        </w:rPr>
      </w:pPr>
      <w:r w:rsidRPr="001E5AF9">
        <w:rPr>
          <w:rFonts w:cs="Arial"/>
        </w:rPr>
        <w:t xml:space="preserve">religious or philosophical </w:t>
      </w:r>
      <w:proofErr w:type="gramStart"/>
      <w:r w:rsidRPr="001E5AF9">
        <w:rPr>
          <w:rFonts w:cs="Arial"/>
        </w:rPr>
        <w:t>beliefs;</w:t>
      </w:r>
      <w:proofErr w:type="gramEnd"/>
    </w:p>
    <w:p w14:paraId="531BD22A" w14:textId="77777777" w:rsidR="001E5AF9" w:rsidRPr="001E5AF9" w:rsidRDefault="001E5AF9" w:rsidP="00FE3B43">
      <w:pPr>
        <w:numPr>
          <w:ilvl w:val="1"/>
          <w:numId w:val="17"/>
        </w:numPr>
        <w:spacing w:after="240"/>
        <w:ind w:left="1551"/>
        <w:jc w:val="both"/>
        <w:rPr>
          <w:rFonts w:cs="Arial"/>
        </w:rPr>
      </w:pPr>
      <w:r w:rsidRPr="001E5AF9">
        <w:rPr>
          <w:rFonts w:cs="Arial"/>
        </w:rPr>
        <w:t xml:space="preserve">trade union </w:t>
      </w:r>
      <w:proofErr w:type="gramStart"/>
      <w:r w:rsidRPr="001E5AF9">
        <w:rPr>
          <w:rFonts w:cs="Arial"/>
        </w:rPr>
        <w:t>membership;</w:t>
      </w:r>
      <w:proofErr w:type="gramEnd"/>
    </w:p>
    <w:p w14:paraId="6D5A6E32" w14:textId="77777777" w:rsidR="001E5AF9" w:rsidRPr="001E5AF9" w:rsidRDefault="001E5AF9" w:rsidP="00FE3B43">
      <w:pPr>
        <w:numPr>
          <w:ilvl w:val="1"/>
          <w:numId w:val="17"/>
        </w:numPr>
        <w:spacing w:after="240"/>
        <w:ind w:left="1551"/>
        <w:jc w:val="both"/>
        <w:rPr>
          <w:rFonts w:cs="Arial"/>
        </w:rPr>
      </w:pPr>
      <w:r w:rsidRPr="001E5AF9">
        <w:rPr>
          <w:rFonts w:cs="Arial"/>
        </w:rPr>
        <w:t xml:space="preserve">genetic </w:t>
      </w:r>
      <w:proofErr w:type="gramStart"/>
      <w:r w:rsidRPr="001E5AF9">
        <w:rPr>
          <w:rFonts w:cs="Arial"/>
        </w:rPr>
        <w:t>data;</w:t>
      </w:r>
      <w:proofErr w:type="gramEnd"/>
    </w:p>
    <w:p w14:paraId="4142654E" w14:textId="77777777" w:rsidR="001E5AF9" w:rsidRPr="001E5AF9" w:rsidRDefault="001E5AF9" w:rsidP="00FE3B43">
      <w:pPr>
        <w:numPr>
          <w:ilvl w:val="1"/>
          <w:numId w:val="17"/>
        </w:numPr>
        <w:spacing w:after="240"/>
        <w:ind w:left="1551"/>
        <w:jc w:val="both"/>
        <w:rPr>
          <w:rFonts w:cs="Arial"/>
        </w:rPr>
      </w:pPr>
      <w:r w:rsidRPr="001E5AF9">
        <w:rPr>
          <w:rFonts w:cs="Arial"/>
        </w:rPr>
        <w:t>biometric data (where this is used for identification purposes</w:t>
      </w:r>
      <w:proofErr w:type="gramStart"/>
      <w:r w:rsidRPr="001E5AF9">
        <w:rPr>
          <w:rFonts w:cs="Arial"/>
        </w:rPr>
        <w:t>);</w:t>
      </w:r>
      <w:proofErr w:type="gramEnd"/>
    </w:p>
    <w:p w14:paraId="2B3545F7" w14:textId="77777777" w:rsidR="001E5AF9" w:rsidRPr="001E5AF9" w:rsidRDefault="001E5AF9" w:rsidP="00FE3B43">
      <w:pPr>
        <w:numPr>
          <w:ilvl w:val="1"/>
          <w:numId w:val="17"/>
        </w:numPr>
        <w:spacing w:after="240"/>
        <w:ind w:left="1551"/>
        <w:jc w:val="both"/>
        <w:rPr>
          <w:rFonts w:cs="Arial"/>
        </w:rPr>
      </w:pPr>
      <w:r w:rsidRPr="001E5AF9">
        <w:rPr>
          <w:rFonts w:cs="Arial"/>
        </w:rPr>
        <w:t xml:space="preserve">health </w:t>
      </w:r>
      <w:proofErr w:type="gramStart"/>
      <w:r w:rsidRPr="001E5AF9">
        <w:rPr>
          <w:rFonts w:cs="Arial"/>
        </w:rPr>
        <w:t>data;</w:t>
      </w:r>
      <w:proofErr w:type="gramEnd"/>
    </w:p>
    <w:p w14:paraId="35C9EC66" w14:textId="77777777" w:rsidR="001E5AF9" w:rsidRPr="001E5AF9" w:rsidRDefault="001E5AF9" w:rsidP="00FE3B43">
      <w:pPr>
        <w:numPr>
          <w:ilvl w:val="1"/>
          <w:numId w:val="17"/>
        </w:numPr>
        <w:spacing w:after="240"/>
        <w:ind w:left="1551"/>
        <w:jc w:val="both"/>
        <w:rPr>
          <w:rFonts w:cs="Arial"/>
        </w:rPr>
      </w:pPr>
      <w:r w:rsidRPr="001E5AF9">
        <w:rPr>
          <w:rFonts w:cs="Arial"/>
        </w:rPr>
        <w:t>sex life; or</w:t>
      </w:r>
    </w:p>
    <w:p w14:paraId="53D04A94" w14:textId="5BCF6F2C" w:rsidR="001E5AF9" w:rsidRDefault="001E5AF9" w:rsidP="18BB3A9C">
      <w:pPr>
        <w:numPr>
          <w:ilvl w:val="1"/>
          <w:numId w:val="17"/>
        </w:numPr>
        <w:spacing w:after="240"/>
        <w:ind w:left="1551"/>
        <w:jc w:val="both"/>
        <w:rPr>
          <w:rFonts w:cs="Arial"/>
        </w:rPr>
      </w:pPr>
      <w:r w:rsidRPr="124486BD">
        <w:rPr>
          <w:rFonts w:cs="Arial"/>
        </w:rPr>
        <w:t>sexual orientation</w:t>
      </w:r>
      <w:r w:rsidR="005B1CD3" w:rsidRPr="124486BD">
        <w:rPr>
          <w:rFonts w:cs="Arial"/>
        </w:rPr>
        <w:t>”</w:t>
      </w:r>
    </w:p>
    <w:p w14:paraId="7CC397DC" w14:textId="1E2E1CDD" w:rsidR="18BB3A9C" w:rsidRDefault="18BB3A9C" w:rsidP="18BB3A9C">
      <w:pPr>
        <w:spacing w:after="240"/>
        <w:ind w:left="1162"/>
        <w:jc w:val="both"/>
        <w:rPr>
          <w:rFonts w:cs="Arial"/>
        </w:rPr>
      </w:pPr>
    </w:p>
    <w:p w14:paraId="7E8526F7" w14:textId="77777777"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10" w:name="_Toc132635588"/>
      <w:r w:rsidRPr="002748EF">
        <w:rPr>
          <w:rFonts w:cs="Arial"/>
          <w:b/>
          <w:bCs/>
          <w:sz w:val="28"/>
          <w:szCs w:val="28"/>
        </w:rPr>
        <w:t>Policy Statement</w:t>
      </w:r>
      <w:bookmarkEnd w:id="10"/>
    </w:p>
    <w:p w14:paraId="7E8526F8" w14:textId="24C96237" w:rsidR="00ED0BD0" w:rsidRPr="00F12E5F" w:rsidRDefault="005B1CD3" w:rsidP="00A86741">
      <w:pPr>
        <w:numPr>
          <w:ilvl w:val="1"/>
          <w:numId w:val="11"/>
        </w:numPr>
        <w:spacing w:after="240"/>
        <w:jc w:val="both"/>
        <w:rPr>
          <w:rFonts w:cs="Arial"/>
        </w:rPr>
      </w:pPr>
      <w:r w:rsidRPr="124486BD">
        <w:rPr>
          <w:rFonts w:cs="Arial"/>
        </w:rPr>
        <w:t xml:space="preserve">The Trust is committed to ensuring that it fully complies with the </w:t>
      </w:r>
      <w:r w:rsidR="00593954" w:rsidRPr="124486BD">
        <w:rPr>
          <w:rFonts w:cs="Arial"/>
        </w:rPr>
        <w:t>data protection</w:t>
      </w:r>
      <w:r w:rsidRPr="124486BD">
        <w:rPr>
          <w:rFonts w:cs="Arial"/>
        </w:rPr>
        <w:t xml:space="preserve"> principles of good practice within the Data Protection Act </w:t>
      </w:r>
      <w:r w:rsidR="00593954" w:rsidRPr="124486BD">
        <w:rPr>
          <w:rFonts w:cs="Arial"/>
        </w:rPr>
        <w:t xml:space="preserve">2018 </w:t>
      </w:r>
      <w:r w:rsidR="007D08B3" w:rsidRPr="124486BD">
        <w:rPr>
          <w:rFonts w:cs="Arial"/>
        </w:rPr>
        <w:t>(including the UK General Data Protection Regulation)</w:t>
      </w:r>
      <w:r w:rsidR="009022F0" w:rsidRPr="124486BD">
        <w:rPr>
          <w:rFonts w:cs="Arial"/>
        </w:rPr>
        <w:t>, together referred to as Data Protection Law,</w:t>
      </w:r>
      <w:r w:rsidR="007D08B3" w:rsidRPr="124486BD">
        <w:rPr>
          <w:rFonts w:cs="Arial"/>
        </w:rPr>
        <w:t xml:space="preserve"> </w:t>
      </w:r>
      <w:r w:rsidRPr="124486BD">
        <w:rPr>
          <w:rFonts w:cs="Arial"/>
        </w:rPr>
        <w:t>when conducting its business, through adherence to robust procedures and the provision of guidance and training.</w:t>
      </w:r>
      <w:r w:rsidR="00452088" w:rsidRPr="124486BD">
        <w:rPr>
          <w:rFonts w:cs="Arial"/>
        </w:rPr>
        <w:t xml:space="preserve">  It is also committed to ensuring accountability </w:t>
      </w:r>
      <w:r w:rsidR="00144673" w:rsidRPr="124486BD">
        <w:rPr>
          <w:rFonts w:cs="Arial"/>
        </w:rPr>
        <w:t xml:space="preserve">by demonstrating its </w:t>
      </w:r>
      <w:r w:rsidR="372F8FBA" w:rsidRPr="124486BD">
        <w:rPr>
          <w:rFonts w:cs="Arial"/>
        </w:rPr>
        <w:t>compliance. This includes enabling the appropr</w:t>
      </w:r>
      <w:r w:rsidR="1B934AD5" w:rsidRPr="124486BD">
        <w:rPr>
          <w:rFonts w:cs="Arial"/>
        </w:rPr>
        <w:t>iate use,</w:t>
      </w:r>
      <w:r w:rsidR="576B0290" w:rsidRPr="124486BD">
        <w:rPr>
          <w:rFonts w:cs="Arial"/>
        </w:rPr>
        <w:t xml:space="preserve"> </w:t>
      </w:r>
      <w:r w:rsidR="1B934AD5" w:rsidRPr="124486BD">
        <w:rPr>
          <w:rFonts w:cs="Arial"/>
        </w:rPr>
        <w:t>access and sharing of data for public benefit,</w:t>
      </w:r>
      <w:r w:rsidR="36C75BE4" w:rsidRPr="124486BD">
        <w:rPr>
          <w:rFonts w:cs="Arial"/>
        </w:rPr>
        <w:t xml:space="preserve"> </w:t>
      </w:r>
      <w:r w:rsidR="1B934AD5" w:rsidRPr="124486BD">
        <w:rPr>
          <w:rFonts w:cs="Arial"/>
        </w:rPr>
        <w:t>including heal</w:t>
      </w:r>
      <w:r w:rsidR="19F10392" w:rsidRPr="124486BD">
        <w:rPr>
          <w:rFonts w:cs="Arial"/>
        </w:rPr>
        <w:t>th and care delivery, service improvement,</w:t>
      </w:r>
      <w:r w:rsidR="6EECC7C4" w:rsidRPr="124486BD">
        <w:rPr>
          <w:rFonts w:cs="Arial"/>
        </w:rPr>
        <w:t xml:space="preserve"> </w:t>
      </w:r>
      <w:r w:rsidR="19F10392" w:rsidRPr="124486BD">
        <w:rPr>
          <w:rFonts w:cs="Arial"/>
        </w:rPr>
        <w:t xml:space="preserve">research and planning, in line with the Data Use </w:t>
      </w:r>
      <w:r w:rsidR="44B2F46A" w:rsidRPr="124486BD">
        <w:rPr>
          <w:rFonts w:cs="Arial"/>
        </w:rPr>
        <w:t>and Access Act 20</w:t>
      </w:r>
      <w:r w:rsidR="0B4010FE" w:rsidRPr="124486BD">
        <w:rPr>
          <w:rFonts w:cs="Arial"/>
        </w:rPr>
        <w:t>2</w:t>
      </w:r>
      <w:r w:rsidR="44B2F46A" w:rsidRPr="124486BD">
        <w:rPr>
          <w:rFonts w:cs="Arial"/>
        </w:rPr>
        <w:t>5.</w:t>
      </w:r>
    </w:p>
    <w:p w14:paraId="39D3B5C6" w14:textId="77777777" w:rsidR="008F2DAD" w:rsidRPr="002748EF" w:rsidRDefault="008F2DAD" w:rsidP="008F2DAD">
      <w:pPr>
        <w:numPr>
          <w:ilvl w:val="0"/>
          <w:numId w:val="2"/>
        </w:numPr>
        <w:tabs>
          <w:tab w:val="clear" w:pos="902"/>
          <w:tab w:val="left" w:pos="1162"/>
        </w:tabs>
        <w:spacing w:before="360" w:after="240"/>
        <w:ind w:left="1162" w:hanging="1162"/>
        <w:outlineLvl w:val="0"/>
        <w:rPr>
          <w:rFonts w:cs="Arial"/>
          <w:b/>
          <w:bCs/>
          <w:sz w:val="28"/>
          <w:szCs w:val="28"/>
        </w:rPr>
      </w:pPr>
      <w:bookmarkStart w:id="11" w:name="_Toc132635589"/>
      <w:r w:rsidRPr="002748EF">
        <w:rPr>
          <w:rFonts w:cs="Arial"/>
          <w:b/>
          <w:bCs/>
          <w:sz w:val="28"/>
          <w:szCs w:val="28"/>
        </w:rPr>
        <w:t>Responsibilities</w:t>
      </w:r>
      <w:bookmarkEnd w:id="11"/>
    </w:p>
    <w:p w14:paraId="32FF4C7F" w14:textId="3166B4AA" w:rsidR="007D29EA" w:rsidRDefault="001A1A18" w:rsidP="008F2DAD">
      <w:pPr>
        <w:numPr>
          <w:ilvl w:val="1"/>
          <w:numId w:val="11"/>
        </w:numPr>
        <w:spacing w:after="240"/>
        <w:jc w:val="both"/>
        <w:rPr>
          <w:rFonts w:cs="Arial"/>
        </w:rPr>
      </w:pPr>
      <w:r>
        <w:rPr>
          <w:rFonts w:cs="Arial"/>
        </w:rPr>
        <w:t>The Trust Board is accountable to its members and governors</w:t>
      </w:r>
      <w:r w:rsidR="00CD23E4">
        <w:rPr>
          <w:rFonts w:cs="Arial"/>
        </w:rPr>
        <w:t xml:space="preserve">.  </w:t>
      </w:r>
      <w:r w:rsidR="007D29EA">
        <w:rPr>
          <w:rFonts w:cs="Arial"/>
        </w:rPr>
        <w:t xml:space="preserve">The </w:t>
      </w:r>
      <w:r w:rsidR="008B0EF2">
        <w:rPr>
          <w:rFonts w:cs="Arial"/>
        </w:rPr>
        <w:t xml:space="preserve">role of the </w:t>
      </w:r>
      <w:r w:rsidR="007D29EA">
        <w:rPr>
          <w:rFonts w:cs="Arial"/>
        </w:rPr>
        <w:t xml:space="preserve">Trust Board is </w:t>
      </w:r>
      <w:r w:rsidR="008B0EF2">
        <w:rPr>
          <w:rFonts w:cs="Arial"/>
        </w:rPr>
        <w:t xml:space="preserve">to effectively </w:t>
      </w:r>
      <w:r w:rsidR="0069117A">
        <w:rPr>
          <w:rFonts w:cs="Arial"/>
        </w:rPr>
        <w:t xml:space="preserve">lead and </w:t>
      </w:r>
      <w:r w:rsidR="008B0EF2">
        <w:rPr>
          <w:rFonts w:cs="Arial"/>
        </w:rPr>
        <w:t>govern the organisation</w:t>
      </w:r>
      <w:r w:rsidR="000C5A65">
        <w:rPr>
          <w:rFonts w:cs="Arial"/>
        </w:rPr>
        <w:t xml:space="preserve"> by undertaking three key roles:</w:t>
      </w:r>
    </w:p>
    <w:p w14:paraId="1ECFA698" w14:textId="77777777" w:rsidR="000C5A65" w:rsidRPr="000C5A65" w:rsidRDefault="000C5A65" w:rsidP="00A124D5">
      <w:pPr>
        <w:numPr>
          <w:ilvl w:val="2"/>
          <w:numId w:val="24"/>
        </w:numPr>
        <w:spacing w:after="240"/>
        <w:ind w:left="1701"/>
        <w:jc w:val="both"/>
        <w:rPr>
          <w:rFonts w:cs="Arial"/>
        </w:rPr>
      </w:pPr>
      <w:r w:rsidRPr="000C5A65">
        <w:rPr>
          <w:rFonts w:cs="Arial"/>
        </w:rPr>
        <w:t>Formulating strategy for the organisation.</w:t>
      </w:r>
    </w:p>
    <w:p w14:paraId="1F36DDAD" w14:textId="4582B47A" w:rsidR="000C5A65" w:rsidRPr="000C5A65" w:rsidRDefault="000C5A65" w:rsidP="00A124D5">
      <w:pPr>
        <w:numPr>
          <w:ilvl w:val="2"/>
          <w:numId w:val="24"/>
        </w:numPr>
        <w:spacing w:after="240"/>
        <w:ind w:left="1701"/>
        <w:jc w:val="both"/>
        <w:rPr>
          <w:rFonts w:cs="Arial"/>
        </w:rPr>
      </w:pPr>
      <w:r w:rsidRPr="000C5A65">
        <w:rPr>
          <w:rFonts w:cs="Arial"/>
        </w:rPr>
        <w:t>Ensuring accountability by holding the organisation to account for the delivery of the strategy and through seeking assurance that systems of control are robust and reliable.</w:t>
      </w:r>
    </w:p>
    <w:p w14:paraId="15181FBB" w14:textId="7295A8B4" w:rsidR="000C5A65" w:rsidRDefault="000C5A65" w:rsidP="00A124D5">
      <w:pPr>
        <w:numPr>
          <w:ilvl w:val="2"/>
          <w:numId w:val="24"/>
        </w:numPr>
        <w:spacing w:after="240"/>
        <w:ind w:left="1701"/>
        <w:jc w:val="both"/>
        <w:rPr>
          <w:rFonts w:cs="Arial"/>
        </w:rPr>
      </w:pPr>
      <w:r w:rsidRPr="000C5A65">
        <w:rPr>
          <w:rFonts w:cs="Arial"/>
        </w:rPr>
        <w:t>Shaping a positive culture for the board and the organisation.</w:t>
      </w:r>
    </w:p>
    <w:p w14:paraId="0F21B473" w14:textId="77777777" w:rsidR="00451776" w:rsidRDefault="00D35FB8" w:rsidP="124486BD">
      <w:pPr>
        <w:numPr>
          <w:ilvl w:val="1"/>
          <w:numId w:val="11"/>
        </w:numPr>
        <w:jc w:val="both"/>
        <w:rPr>
          <w:rFonts w:cs="Arial"/>
        </w:rPr>
      </w:pPr>
      <w:r w:rsidRPr="124486BD">
        <w:rPr>
          <w:rFonts w:cs="Arial"/>
        </w:rPr>
        <w:t>Responsibility for formulating data protection strategy</w:t>
      </w:r>
      <w:r w:rsidR="006B7DB4" w:rsidRPr="124486BD">
        <w:rPr>
          <w:rFonts w:cs="Arial"/>
        </w:rPr>
        <w:t xml:space="preserve"> </w:t>
      </w:r>
      <w:r w:rsidR="00937E21" w:rsidRPr="124486BD">
        <w:rPr>
          <w:rFonts w:cs="Arial"/>
        </w:rPr>
        <w:t xml:space="preserve">for the organisation </w:t>
      </w:r>
      <w:r w:rsidR="006B7DB4" w:rsidRPr="124486BD">
        <w:rPr>
          <w:rFonts w:cs="Arial"/>
        </w:rPr>
        <w:t>and for providing assurance that systems of control are robust and reliable</w:t>
      </w:r>
      <w:r w:rsidRPr="124486BD">
        <w:rPr>
          <w:rFonts w:cs="Arial"/>
        </w:rPr>
        <w:t xml:space="preserve"> has been delegated to the </w:t>
      </w:r>
      <w:r w:rsidR="00482FCD" w:rsidRPr="124486BD">
        <w:rPr>
          <w:rFonts w:cs="Arial"/>
        </w:rPr>
        <w:t>Executive Team</w:t>
      </w:r>
      <w:r w:rsidR="00937E21" w:rsidRPr="124486BD">
        <w:rPr>
          <w:rFonts w:cs="Arial"/>
        </w:rPr>
        <w:t xml:space="preserve">.  </w:t>
      </w:r>
    </w:p>
    <w:p w14:paraId="5992FEB1" w14:textId="77777777" w:rsidR="00451776" w:rsidRDefault="00451776" w:rsidP="124486BD">
      <w:pPr>
        <w:ind w:left="1162"/>
        <w:jc w:val="both"/>
        <w:rPr>
          <w:rFonts w:cs="Arial"/>
        </w:rPr>
      </w:pPr>
    </w:p>
    <w:p w14:paraId="213CB0BF" w14:textId="2D05FBA0" w:rsidR="00EC1100" w:rsidRPr="009E53AB" w:rsidRDefault="008F2DAD" w:rsidP="00FE3B43">
      <w:pPr>
        <w:spacing w:after="240"/>
        <w:ind w:left="1162"/>
        <w:jc w:val="both"/>
        <w:rPr>
          <w:rFonts w:cs="Arial"/>
        </w:rPr>
      </w:pPr>
      <w:r w:rsidRPr="009E53AB">
        <w:rPr>
          <w:rFonts w:cs="Arial"/>
        </w:rPr>
        <w:t xml:space="preserve">The Chief Executive Officer (CEO) </w:t>
      </w:r>
      <w:r w:rsidR="00E8464C" w:rsidRPr="009E53AB">
        <w:rPr>
          <w:rFonts w:cs="Arial"/>
        </w:rPr>
        <w:t>as the Acco</w:t>
      </w:r>
      <w:r w:rsidR="00A3124E" w:rsidRPr="009E53AB">
        <w:rPr>
          <w:rFonts w:cs="Arial"/>
        </w:rPr>
        <w:t xml:space="preserve">untable Officer </w:t>
      </w:r>
      <w:r w:rsidR="00EC1100" w:rsidRPr="009E53AB">
        <w:rPr>
          <w:rFonts w:cs="Arial"/>
        </w:rPr>
        <w:t xml:space="preserve">for the Trust </w:t>
      </w:r>
      <w:r w:rsidR="00473983" w:rsidRPr="009E53AB">
        <w:rPr>
          <w:rFonts w:cs="Arial"/>
        </w:rPr>
        <w:t xml:space="preserve">is </w:t>
      </w:r>
      <w:r w:rsidR="009E53AB">
        <w:rPr>
          <w:rFonts w:cs="Arial"/>
        </w:rPr>
        <w:t xml:space="preserve">therefore </w:t>
      </w:r>
      <w:r w:rsidR="00EC1100" w:rsidRPr="009E53AB">
        <w:rPr>
          <w:rFonts w:cs="Arial"/>
        </w:rPr>
        <w:t xml:space="preserve">ultimately </w:t>
      </w:r>
      <w:r w:rsidR="00473983" w:rsidRPr="009E53AB">
        <w:rPr>
          <w:rFonts w:cs="Arial"/>
        </w:rPr>
        <w:t xml:space="preserve">accountable </w:t>
      </w:r>
      <w:r w:rsidR="005B1BCD" w:rsidRPr="009E53AB">
        <w:rPr>
          <w:rFonts w:cs="Arial"/>
        </w:rPr>
        <w:t xml:space="preserve">to the </w:t>
      </w:r>
      <w:r w:rsidR="00EC1100" w:rsidRPr="009E53AB">
        <w:rPr>
          <w:rFonts w:cs="Arial"/>
        </w:rPr>
        <w:t>Board</w:t>
      </w:r>
      <w:r w:rsidRPr="009E53AB">
        <w:rPr>
          <w:rFonts w:cs="Arial"/>
        </w:rPr>
        <w:t xml:space="preserve"> for </w:t>
      </w:r>
      <w:r w:rsidR="00982BB3" w:rsidRPr="009E53AB">
        <w:rPr>
          <w:rFonts w:cs="Arial"/>
        </w:rPr>
        <w:t>ensuring the Trust complies with legal and regulatory requirements and that it is meeting its strategic objectives</w:t>
      </w:r>
      <w:r w:rsidR="009E53AB">
        <w:rPr>
          <w:rFonts w:cs="Arial"/>
        </w:rPr>
        <w:t xml:space="preserve"> in relation to data protection</w:t>
      </w:r>
      <w:r w:rsidR="00982BB3" w:rsidRPr="009E53AB">
        <w:rPr>
          <w:rFonts w:cs="Arial"/>
        </w:rPr>
        <w:t>.</w:t>
      </w:r>
    </w:p>
    <w:p w14:paraId="29C23E02" w14:textId="77777777" w:rsidR="009C4997" w:rsidRDefault="00B053FB" w:rsidP="008F2DAD">
      <w:pPr>
        <w:numPr>
          <w:ilvl w:val="1"/>
          <w:numId w:val="11"/>
        </w:numPr>
        <w:spacing w:after="240"/>
        <w:jc w:val="both"/>
        <w:rPr>
          <w:rFonts w:cs="Arial"/>
        </w:rPr>
      </w:pPr>
      <w:r>
        <w:rPr>
          <w:rFonts w:cs="Arial"/>
        </w:rPr>
        <w:t xml:space="preserve">Responsibility for </w:t>
      </w:r>
      <w:r w:rsidR="008F2DAD" w:rsidRPr="001543A6">
        <w:rPr>
          <w:rFonts w:cs="Arial"/>
        </w:rPr>
        <w:t xml:space="preserve">Data Protection </w:t>
      </w:r>
      <w:r>
        <w:rPr>
          <w:rFonts w:cs="Arial"/>
        </w:rPr>
        <w:t>compliance</w:t>
      </w:r>
      <w:r w:rsidR="00092AB3">
        <w:rPr>
          <w:rFonts w:cs="Arial"/>
        </w:rPr>
        <w:t xml:space="preserve">, including the associated strategy and the policies and procedures which </w:t>
      </w:r>
      <w:r w:rsidR="009C4997">
        <w:rPr>
          <w:rFonts w:cs="Arial"/>
        </w:rPr>
        <w:t xml:space="preserve">support the delivery of that strategy </w:t>
      </w:r>
      <w:r w:rsidR="008F2DAD" w:rsidRPr="001543A6">
        <w:rPr>
          <w:rFonts w:cs="Arial"/>
        </w:rPr>
        <w:t xml:space="preserve">within the Trust is delegated to the </w:t>
      </w:r>
      <w:r w:rsidR="005078FC">
        <w:rPr>
          <w:rFonts w:cs="Arial"/>
        </w:rPr>
        <w:t xml:space="preserve">Executive Director who has been nominated to act as the </w:t>
      </w:r>
      <w:r w:rsidR="008F2DAD">
        <w:rPr>
          <w:rFonts w:cs="Arial"/>
        </w:rPr>
        <w:t>Senior Information Risk Owner (SIRO)</w:t>
      </w:r>
      <w:r w:rsidR="005078FC">
        <w:rPr>
          <w:rFonts w:cs="Arial"/>
        </w:rPr>
        <w:t>.</w:t>
      </w:r>
    </w:p>
    <w:p w14:paraId="147BDAA2" w14:textId="2E7E563A" w:rsidR="00064BA7" w:rsidRDefault="1CE081C8" w:rsidP="00064BA7">
      <w:pPr>
        <w:numPr>
          <w:ilvl w:val="1"/>
          <w:numId w:val="11"/>
        </w:numPr>
        <w:spacing w:after="240"/>
        <w:jc w:val="both"/>
        <w:rPr>
          <w:rFonts w:cs="Arial"/>
        </w:rPr>
      </w:pPr>
      <w:r w:rsidRPr="124486BD">
        <w:rPr>
          <w:rFonts w:cs="Arial"/>
        </w:rPr>
        <w:t xml:space="preserve">The </w:t>
      </w:r>
      <w:r w:rsidR="00064BA7" w:rsidRPr="124486BD">
        <w:rPr>
          <w:rFonts w:cs="Arial"/>
        </w:rPr>
        <w:t xml:space="preserve">Information Governance Group </w:t>
      </w:r>
      <w:r w:rsidR="0006558B" w:rsidRPr="124486BD">
        <w:rPr>
          <w:rFonts w:cs="Arial"/>
        </w:rPr>
        <w:t xml:space="preserve">chaired by the SIRO </w:t>
      </w:r>
      <w:r w:rsidR="00064BA7" w:rsidRPr="124486BD">
        <w:rPr>
          <w:rFonts w:cs="Arial"/>
        </w:rPr>
        <w:t>is responsible for bringing data protection issues to the Executive Management Team</w:t>
      </w:r>
      <w:r w:rsidR="00AD2EEA" w:rsidRPr="124486BD">
        <w:rPr>
          <w:rFonts w:cs="Arial"/>
        </w:rPr>
        <w:t>, and</w:t>
      </w:r>
      <w:r w:rsidR="00064BA7" w:rsidRPr="124486BD">
        <w:rPr>
          <w:rFonts w:cs="Arial"/>
        </w:rPr>
        <w:t xml:space="preserve"> the Trust Board as appropriate.</w:t>
      </w:r>
    </w:p>
    <w:p w14:paraId="4C0D74F5" w14:textId="77777777" w:rsidR="00F13E6C" w:rsidRDefault="00EF472A" w:rsidP="008F2DAD">
      <w:pPr>
        <w:numPr>
          <w:ilvl w:val="1"/>
          <w:numId w:val="11"/>
        </w:numPr>
        <w:spacing w:after="240"/>
        <w:jc w:val="both"/>
        <w:rPr>
          <w:rFonts w:cs="Arial"/>
        </w:rPr>
      </w:pPr>
      <w:r>
        <w:rPr>
          <w:rFonts w:cs="Arial"/>
        </w:rPr>
        <w:t xml:space="preserve">Responsibility for implementing Trust strategy, policy and procedures </w:t>
      </w:r>
      <w:r w:rsidR="00CF52C4">
        <w:rPr>
          <w:rFonts w:cs="Arial"/>
        </w:rPr>
        <w:t>is delegated to</w:t>
      </w:r>
      <w:r w:rsidR="008F2DAD" w:rsidRPr="001543A6">
        <w:rPr>
          <w:rFonts w:cs="Arial"/>
        </w:rPr>
        <w:t xml:space="preserve"> designated personnel, including </w:t>
      </w:r>
      <w:r w:rsidR="00F13E6C">
        <w:rPr>
          <w:rFonts w:cs="Arial"/>
        </w:rPr>
        <w:t>(but not limited to):</w:t>
      </w:r>
    </w:p>
    <w:p w14:paraId="44DB2BF3" w14:textId="7DC8DFF0" w:rsidR="00204F39" w:rsidRDefault="00A218E3" w:rsidP="00A124D5">
      <w:pPr>
        <w:numPr>
          <w:ilvl w:val="2"/>
          <w:numId w:val="25"/>
        </w:numPr>
        <w:spacing w:after="240"/>
        <w:ind w:left="1701"/>
        <w:jc w:val="both"/>
        <w:rPr>
          <w:rFonts w:cs="Arial"/>
        </w:rPr>
      </w:pPr>
      <w:r w:rsidRPr="124486BD">
        <w:rPr>
          <w:rFonts w:cs="Arial"/>
          <w:b/>
          <w:bCs/>
        </w:rPr>
        <w:t xml:space="preserve">The Data Protection Officer </w:t>
      </w:r>
      <w:r w:rsidR="00F94B6E" w:rsidRPr="124486BD">
        <w:rPr>
          <w:rFonts w:cs="Arial"/>
          <w:b/>
          <w:bCs/>
        </w:rPr>
        <w:t>(DPO)</w:t>
      </w:r>
      <w:r w:rsidR="00F94B6E" w:rsidRPr="124486BD">
        <w:rPr>
          <w:rFonts w:cs="Arial"/>
        </w:rPr>
        <w:t xml:space="preserve"> </w:t>
      </w:r>
      <w:r w:rsidRPr="124486BD">
        <w:rPr>
          <w:rFonts w:cs="Arial"/>
        </w:rPr>
        <w:t xml:space="preserve">– </w:t>
      </w:r>
      <w:r w:rsidR="00977424" w:rsidRPr="124486BD">
        <w:rPr>
          <w:rFonts w:cs="Arial"/>
        </w:rPr>
        <w:t xml:space="preserve">An individual </w:t>
      </w:r>
      <w:r w:rsidR="00F335AE" w:rsidRPr="124486BD">
        <w:rPr>
          <w:rFonts w:cs="Arial"/>
        </w:rPr>
        <w:t xml:space="preserve">appointed </w:t>
      </w:r>
      <w:bookmarkStart w:id="12" w:name="_Int_9rhY51pp"/>
      <w:proofErr w:type="gramStart"/>
      <w:r w:rsidR="00AF5723" w:rsidRPr="124486BD">
        <w:rPr>
          <w:rFonts w:cs="Arial"/>
        </w:rPr>
        <w:t>on the basis of</w:t>
      </w:r>
      <w:bookmarkEnd w:id="12"/>
      <w:proofErr w:type="gramEnd"/>
      <w:r w:rsidR="00AF5723" w:rsidRPr="124486BD">
        <w:rPr>
          <w:rFonts w:cs="Arial"/>
        </w:rPr>
        <w:t xml:space="preserve"> their personal and professional qualities and their expert knowledge of data protection</w:t>
      </w:r>
      <w:r w:rsidR="00204F39" w:rsidRPr="124486BD">
        <w:rPr>
          <w:rFonts w:cs="Arial"/>
        </w:rPr>
        <w:t xml:space="preserve">.  </w:t>
      </w:r>
      <w:r w:rsidR="00960748" w:rsidRPr="124486BD">
        <w:rPr>
          <w:rFonts w:cs="Arial"/>
        </w:rPr>
        <w:t xml:space="preserve">The DPO will be independent, an expert in data protection, have a good understanding of the way the organisation operates, be adequately resourced, and report to the highest management level.  </w:t>
      </w:r>
      <w:r w:rsidR="00204F39" w:rsidRPr="124486BD">
        <w:rPr>
          <w:rFonts w:cs="Arial"/>
        </w:rPr>
        <w:t>The DPO</w:t>
      </w:r>
      <w:r w:rsidR="00117926" w:rsidRPr="124486BD">
        <w:rPr>
          <w:rFonts w:cs="Arial"/>
        </w:rPr>
        <w:t>’s</w:t>
      </w:r>
      <w:r w:rsidR="00204F39" w:rsidRPr="124486BD">
        <w:rPr>
          <w:rFonts w:cs="Arial"/>
        </w:rPr>
        <w:t xml:space="preserve"> role is to monitor internal compliance, inform and advise on data protection obligations, provide advice regarding Data Protection Impact Assessments (DPIAs) and act as a contact point for data subjects and the Information Commissioner’s Office (ICO)</w:t>
      </w:r>
      <w:r w:rsidR="007B393E" w:rsidRPr="124486BD">
        <w:rPr>
          <w:rFonts w:cs="Arial"/>
        </w:rPr>
        <w:t xml:space="preserve"> and data subjects</w:t>
      </w:r>
      <w:r w:rsidR="00204F39" w:rsidRPr="124486BD">
        <w:rPr>
          <w:rFonts w:cs="Arial"/>
        </w:rPr>
        <w:t xml:space="preserve">.  </w:t>
      </w:r>
    </w:p>
    <w:p w14:paraId="77B77E19" w14:textId="254B7283" w:rsidR="00F13E6C" w:rsidRPr="00117926" w:rsidRDefault="00F13E6C" w:rsidP="00A124D5">
      <w:pPr>
        <w:numPr>
          <w:ilvl w:val="2"/>
          <w:numId w:val="25"/>
        </w:numPr>
        <w:spacing w:after="240"/>
        <w:ind w:left="1701"/>
        <w:jc w:val="both"/>
        <w:rPr>
          <w:rFonts w:cs="Arial"/>
          <w:b/>
          <w:bCs/>
        </w:rPr>
      </w:pPr>
      <w:r w:rsidRPr="00117926">
        <w:rPr>
          <w:rFonts w:cs="Arial"/>
          <w:b/>
          <w:bCs/>
        </w:rPr>
        <w:t>The</w:t>
      </w:r>
      <w:r w:rsidR="008F2DAD" w:rsidRPr="00117926">
        <w:rPr>
          <w:rFonts w:cs="Arial"/>
          <w:b/>
          <w:bCs/>
        </w:rPr>
        <w:t xml:space="preserve"> Head of Information Governance</w:t>
      </w:r>
      <w:r w:rsidR="00117926">
        <w:rPr>
          <w:rFonts w:cs="Arial"/>
          <w:b/>
          <w:bCs/>
        </w:rPr>
        <w:t xml:space="preserve"> </w:t>
      </w:r>
      <w:r w:rsidR="0018705F">
        <w:rPr>
          <w:rFonts w:cs="Arial"/>
        </w:rPr>
        <w:t>–</w:t>
      </w:r>
      <w:r w:rsidR="00117926">
        <w:rPr>
          <w:rFonts w:cs="Arial"/>
        </w:rPr>
        <w:t xml:space="preserve"> </w:t>
      </w:r>
      <w:r w:rsidR="000974E8">
        <w:rPr>
          <w:rFonts w:cs="Arial"/>
        </w:rPr>
        <w:t>A</w:t>
      </w:r>
      <w:r w:rsidR="0018705F">
        <w:rPr>
          <w:rFonts w:cs="Arial"/>
        </w:rPr>
        <w:t xml:space="preserve">n individual with responsibility for delivering the organisation’s information governance strategy including </w:t>
      </w:r>
      <w:r w:rsidR="005C4FEC">
        <w:rPr>
          <w:rFonts w:cs="Arial"/>
        </w:rPr>
        <w:t>data protection policy and procedures.</w:t>
      </w:r>
    </w:p>
    <w:p w14:paraId="09F12E0C" w14:textId="518465F2" w:rsidR="008F2DAD" w:rsidRPr="005C4FEC" w:rsidRDefault="00161ABE" w:rsidP="00A124D5">
      <w:pPr>
        <w:numPr>
          <w:ilvl w:val="2"/>
          <w:numId w:val="25"/>
        </w:numPr>
        <w:spacing w:after="240"/>
        <w:ind w:left="1701"/>
        <w:jc w:val="both"/>
        <w:rPr>
          <w:rFonts w:cs="Arial"/>
          <w:b/>
          <w:bCs/>
        </w:rPr>
      </w:pPr>
      <w:r w:rsidRPr="005C4FEC">
        <w:rPr>
          <w:rFonts w:cs="Arial"/>
          <w:b/>
          <w:bCs/>
        </w:rPr>
        <w:t>Information Asset Owners (IAO)</w:t>
      </w:r>
      <w:r w:rsidR="005C4FEC">
        <w:rPr>
          <w:rFonts w:cs="Arial"/>
          <w:b/>
          <w:bCs/>
        </w:rPr>
        <w:t xml:space="preserve"> </w:t>
      </w:r>
      <w:r w:rsidR="005C3A96">
        <w:rPr>
          <w:rFonts w:cs="Arial"/>
        </w:rPr>
        <w:t>–</w:t>
      </w:r>
      <w:r w:rsidR="005C4FEC" w:rsidRPr="00962780">
        <w:rPr>
          <w:rFonts w:cs="Arial"/>
        </w:rPr>
        <w:t xml:space="preserve"> </w:t>
      </w:r>
      <w:r w:rsidR="005C3A96">
        <w:rPr>
          <w:rFonts w:cs="Arial"/>
        </w:rPr>
        <w:t>S</w:t>
      </w:r>
      <w:r w:rsidR="005C3A96" w:rsidRPr="005C3A96">
        <w:rPr>
          <w:rFonts w:cs="Arial"/>
        </w:rPr>
        <w:t>enior/responsible individuals involved in running the relevant business</w:t>
      </w:r>
      <w:r w:rsidR="00E11414" w:rsidRPr="00E11414">
        <w:rPr>
          <w:rFonts w:cs="Arial"/>
        </w:rPr>
        <w:t xml:space="preserve"> </w:t>
      </w:r>
      <w:r w:rsidR="00E11414">
        <w:rPr>
          <w:rFonts w:cs="Arial"/>
        </w:rPr>
        <w:t>and appointed by the SIRO</w:t>
      </w:r>
      <w:r w:rsidR="005C3A96" w:rsidRPr="005C3A96">
        <w:rPr>
          <w:rFonts w:cs="Arial"/>
        </w:rPr>
        <w:t>.</w:t>
      </w:r>
      <w:r w:rsidR="005C3A96">
        <w:rPr>
          <w:rFonts w:cs="Arial"/>
        </w:rPr>
        <w:t xml:space="preserve"> </w:t>
      </w:r>
      <w:r w:rsidR="005C3A96" w:rsidRPr="005C3A96">
        <w:rPr>
          <w:rFonts w:cs="Arial"/>
        </w:rPr>
        <w:t xml:space="preserve"> Their role is to understand what information is held, what is added and what is removed, how information is moved, and who has access and why. </w:t>
      </w:r>
      <w:r w:rsidR="005C3A96">
        <w:rPr>
          <w:rFonts w:cs="Arial"/>
        </w:rPr>
        <w:t xml:space="preserve"> </w:t>
      </w:r>
      <w:r w:rsidR="005C3A96" w:rsidRPr="005C3A96">
        <w:rPr>
          <w:rFonts w:cs="Arial"/>
        </w:rPr>
        <w:t>As a result</w:t>
      </w:r>
      <w:r w:rsidR="005C3A96">
        <w:rPr>
          <w:rFonts w:cs="Arial"/>
        </w:rPr>
        <w:t>,</w:t>
      </w:r>
      <w:r w:rsidR="005C3A96" w:rsidRPr="005C3A96">
        <w:rPr>
          <w:rFonts w:cs="Arial"/>
        </w:rPr>
        <w:t xml:space="preserve"> they </w:t>
      </w:r>
      <w:r w:rsidR="00451776" w:rsidRPr="005C3A96">
        <w:rPr>
          <w:rFonts w:cs="Arial"/>
        </w:rPr>
        <w:t>can</w:t>
      </w:r>
      <w:r w:rsidR="005C3A96" w:rsidRPr="005C3A96">
        <w:rPr>
          <w:rFonts w:cs="Arial"/>
        </w:rPr>
        <w:t xml:space="preserve"> understand and address risks to the information and ensure that information is fully used within the law for the public good. They provide </w:t>
      </w:r>
      <w:r w:rsidR="000D0A4A">
        <w:rPr>
          <w:rFonts w:cs="Arial"/>
        </w:rPr>
        <w:t>assurance to the SIRO</w:t>
      </w:r>
      <w:r w:rsidR="005C3A96" w:rsidRPr="005C3A96">
        <w:rPr>
          <w:rFonts w:cs="Arial"/>
        </w:rPr>
        <w:t>.</w:t>
      </w:r>
    </w:p>
    <w:p w14:paraId="5D13FCC5" w14:textId="06CD02C7" w:rsidR="00451776" w:rsidRDefault="00F13E6C" w:rsidP="124486BD">
      <w:pPr>
        <w:numPr>
          <w:ilvl w:val="2"/>
          <w:numId w:val="25"/>
        </w:numPr>
        <w:ind w:left="1701"/>
        <w:jc w:val="both"/>
        <w:rPr>
          <w:rFonts w:cs="Arial"/>
        </w:rPr>
      </w:pPr>
      <w:r w:rsidRPr="124486BD">
        <w:rPr>
          <w:rFonts w:cs="Arial"/>
          <w:b/>
          <w:bCs/>
        </w:rPr>
        <w:t>Information Asset Administrators</w:t>
      </w:r>
      <w:r w:rsidR="00E634E4" w:rsidRPr="124486BD">
        <w:rPr>
          <w:rFonts w:cs="Arial"/>
        </w:rPr>
        <w:t xml:space="preserve"> </w:t>
      </w:r>
      <w:r w:rsidR="00E11414" w:rsidRPr="124486BD">
        <w:rPr>
          <w:rFonts w:cs="Arial"/>
        </w:rPr>
        <w:t>–</w:t>
      </w:r>
      <w:r w:rsidR="00E634E4" w:rsidRPr="124486BD">
        <w:rPr>
          <w:rFonts w:cs="Arial"/>
        </w:rPr>
        <w:t xml:space="preserve"> </w:t>
      </w:r>
      <w:r w:rsidR="00E11414" w:rsidRPr="124486BD">
        <w:rPr>
          <w:rFonts w:cs="Arial"/>
        </w:rPr>
        <w:t xml:space="preserve">Individuals who support IAO </w:t>
      </w:r>
      <w:r w:rsidR="001F3868" w:rsidRPr="124486BD">
        <w:rPr>
          <w:rFonts w:cs="Arial"/>
        </w:rPr>
        <w:t>in their activities</w:t>
      </w:r>
    </w:p>
    <w:p w14:paraId="4E10E16D" w14:textId="5F3EBFF5" w:rsidR="4BE60562" w:rsidRDefault="4BE60562" w:rsidP="124486BD">
      <w:pPr>
        <w:ind w:left="1701"/>
        <w:jc w:val="both"/>
        <w:rPr>
          <w:rFonts w:cs="Arial"/>
        </w:rPr>
      </w:pPr>
    </w:p>
    <w:p w14:paraId="5BFB5B9C" w14:textId="77777777" w:rsidR="00601CE7" w:rsidRPr="00FE3B43" w:rsidRDefault="00875FA9" w:rsidP="00A124D5">
      <w:pPr>
        <w:numPr>
          <w:ilvl w:val="2"/>
          <w:numId w:val="25"/>
        </w:numPr>
        <w:spacing w:after="240"/>
        <w:ind w:left="1701"/>
        <w:jc w:val="both"/>
        <w:rPr>
          <w:rFonts w:cs="Arial"/>
          <w:b/>
          <w:bCs/>
        </w:rPr>
      </w:pPr>
      <w:r w:rsidRPr="004125E0">
        <w:rPr>
          <w:rFonts w:cs="Arial"/>
          <w:b/>
          <w:bCs/>
        </w:rPr>
        <w:t>The Caldicott Guardian</w:t>
      </w:r>
      <w:r w:rsidRPr="004125E0">
        <w:rPr>
          <w:rFonts w:cs="Arial"/>
        </w:rPr>
        <w:t xml:space="preserve"> - </w:t>
      </w:r>
      <w:r>
        <w:rPr>
          <w:rFonts w:cs="Arial"/>
        </w:rPr>
        <w:t>A</w:t>
      </w:r>
      <w:r w:rsidRPr="00A218E3">
        <w:rPr>
          <w:rFonts w:cs="Arial"/>
        </w:rPr>
        <w:t xml:space="preserve"> senior person responsible for protecting the confidentiality of people's health and care information and making sure it is used properly. All NHS organisations and local authorities which provide social services must have a Caldicott Guardian.</w:t>
      </w:r>
    </w:p>
    <w:p w14:paraId="51E754C9" w14:textId="5CE54920" w:rsidR="00601CE7" w:rsidRPr="00601CE7" w:rsidRDefault="00451776" w:rsidP="00A124D5">
      <w:pPr>
        <w:numPr>
          <w:ilvl w:val="2"/>
          <w:numId w:val="25"/>
        </w:numPr>
        <w:spacing w:after="240"/>
        <w:ind w:left="1701"/>
        <w:jc w:val="both"/>
        <w:rPr>
          <w:rFonts w:cs="Arial"/>
          <w:b/>
          <w:bCs/>
        </w:rPr>
      </w:pPr>
      <w:r w:rsidRPr="18BB3A9C">
        <w:rPr>
          <w:rFonts w:cs="Arial"/>
          <w:b/>
          <w:bCs/>
        </w:rPr>
        <w:t xml:space="preserve">The SIRO </w:t>
      </w:r>
      <w:r w:rsidR="00601CE7" w:rsidRPr="18BB3A9C">
        <w:rPr>
          <w:rFonts w:cs="Arial"/>
          <w:b/>
          <w:bCs/>
        </w:rPr>
        <w:t>–</w:t>
      </w:r>
      <w:r w:rsidRPr="18BB3A9C">
        <w:rPr>
          <w:rFonts w:cs="Arial"/>
          <w:b/>
          <w:bCs/>
        </w:rPr>
        <w:t xml:space="preserve"> </w:t>
      </w:r>
      <w:r w:rsidR="00601CE7" w:rsidRPr="18BB3A9C">
        <w:rPr>
          <w:rFonts w:eastAsia="Arial"/>
          <w:lang w:val="en-US"/>
        </w:rPr>
        <w:t>Is an executive director who has responsibility for information risk at Board level. As an executive who is familiar with information risks and their mitigations; including risk assessment methodology, the SIRO provides briefings and reports to the Board on matters of performance and assurance.</w:t>
      </w:r>
    </w:p>
    <w:p w14:paraId="60E80945" w14:textId="32888AA5" w:rsidR="5038E27F" w:rsidRDefault="5038E27F" w:rsidP="3B2B9009">
      <w:pPr>
        <w:numPr>
          <w:ilvl w:val="2"/>
          <w:numId w:val="25"/>
        </w:numPr>
        <w:spacing w:after="240"/>
        <w:ind w:left="1701"/>
        <w:jc w:val="both"/>
        <w:rPr>
          <w:rFonts w:cs="Arial"/>
        </w:rPr>
      </w:pPr>
      <w:r w:rsidRPr="124486BD">
        <w:rPr>
          <w:rFonts w:cs="Arial"/>
          <w:b/>
          <w:bCs/>
        </w:rPr>
        <w:t xml:space="preserve">Data Access Governance </w:t>
      </w:r>
      <w:r w:rsidR="7F0C0D80" w:rsidRPr="124486BD">
        <w:rPr>
          <w:rFonts w:cs="Arial"/>
          <w:b/>
          <w:bCs/>
        </w:rPr>
        <w:t>f</w:t>
      </w:r>
      <w:r w:rsidRPr="124486BD">
        <w:rPr>
          <w:rFonts w:cs="Arial"/>
          <w:b/>
          <w:bCs/>
        </w:rPr>
        <w:t>unctions</w:t>
      </w:r>
      <w:r w:rsidR="3BCF2418" w:rsidRPr="124486BD">
        <w:rPr>
          <w:rFonts w:cs="Arial"/>
          <w:b/>
          <w:bCs/>
        </w:rPr>
        <w:t xml:space="preserve"> –</w:t>
      </w:r>
      <w:r w:rsidR="30F10AA4" w:rsidRPr="124486BD">
        <w:rPr>
          <w:rFonts w:cs="Arial"/>
          <w:b/>
          <w:bCs/>
        </w:rPr>
        <w:t xml:space="preserve"> Formal groups, who have</w:t>
      </w:r>
      <w:r w:rsidR="3BCF2418" w:rsidRPr="124486BD">
        <w:rPr>
          <w:rFonts w:cs="Arial"/>
          <w:b/>
          <w:bCs/>
        </w:rPr>
        <w:t xml:space="preserve"> </w:t>
      </w:r>
      <w:r w:rsidR="519BBE9A" w:rsidRPr="124486BD">
        <w:rPr>
          <w:rFonts w:cs="Arial"/>
          <w:b/>
          <w:bCs/>
        </w:rPr>
        <w:t>r</w:t>
      </w:r>
      <w:r w:rsidRPr="124486BD">
        <w:rPr>
          <w:rFonts w:cs="Arial"/>
        </w:rPr>
        <w:t>espo</w:t>
      </w:r>
      <w:r w:rsidR="001C7F56" w:rsidRPr="124486BD">
        <w:rPr>
          <w:rFonts w:cs="Arial"/>
        </w:rPr>
        <w:t xml:space="preserve">nsibility </w:t>
      </w:r>
      <w:r w:rsidR="70BBC7A9" w:rsidRPr="124486BD">
        <w:rPr>
          <w:rFonts w:cs="Arial"/>
        </w:rPr>
        <w:t>for ensuring that requests for access to data, including for secondary uses such as research, planning or serv</w:t>
      </w:r>
      <w:r w:rsidR="537FCC41" w:rsidRPr="124486BD">
        <w:rPr>
          <w:rFonts w:cs="Arial"/>
        </w:rPr>
        <w:t>ice improvement, are assessed, approved and monitored in accordance data prote</w:t>
      </w:r>
      <w:r w:rsidR="3C680A55" w:rsidRPr="124486BD">
        <w:rPr>
          <w:rFonts w:cs="Arial"/>
        </w:rPr>
        <w:t>ction law and DUAA 2025.</w:t>
      </w:r>
      <w:r w:rsidR="1DCC321C" w:rsidRPr="124486BD">
        <w:rPr>
          <w:rFonts w:cs="Arial"/>
        </w:rPr>
        <w:t xml:space="preserve"> These include the Information Governance Group (IGG), Data Protection </w:t>
      </w:r>
      <w:bookmarkStart w:id="13" w:name="_Int_6h1XOudc"/>
      <w:proofErr w:type="gramStart"/>
      <w:r w:rsidR="1DCC321C" w:rsidRPr="124486BD">
        <w:rPr>
          <w:rFonts w:cs="Arial"/>
        </w:rPr>
        <w:t>Sub Group</w:t>
      </w:r>
      <w:bookmarkEnd w:id="13"/>
      <w:proofErr w:type="gramEnd"/>
      <w:r w:rsidR="1DCC321C" w:rsidRPr="124486BD">
        <w:rPr>
          <w:rFonts w:cs="Arial"/>
        </w:rPr>
        <w:t xml:space="preserve">, Information Security </w:t>
      </w:r>
      <w:bookmarkStart w:id="14" w:name="_Int_QYze6kEm"/>
      <w:proofErr w:type="gramStart"/>
      <w:r w:rsidR="1DCC321C" w:rsidRPr="124486BD">
        <w:rPr>
          <w:rFonts w:cs="Arial"/>
        </w:rPr>
        <w:t>Sub Group</w:t>
      </w:r>
      <w:bookmarkEnd w:id="14"/>
      <w:proofErr w:type="gramEnd"/>
      <w:r w:rsidR="1DCC321C" w:rsidRPr="124486BD">
        <w:rPr>
          <w:rFonts w:cs="Arial"/>
        </w:rPr>
        <w:t xml:space="preserve"> and Information Management &amp; Data Quality </w:t>
      </w:r>
      <w:bookmarkStart w:id="15" w:name="_Int_oQ5mccsD"/>
      <w:proofErr w:type="gramStart"/>
      <w:r w:rsidR="1DCC321C" w:rsidRPr="124486BD">
        <w:rPr>
          <w:rFonts w:cs="Arial"/>
        </w:rPr>
        <w:t>Sub Group</w:t>
      </w:r>
      <w:bookmarkEnd w:id="15"/>
      <w:proofErr w:type="gramEnd"/>
      <w:r w:rsidR="1DCC321C" w:rsidRPr="124486BD">
        <w:rPr>
          <w:rFonts w:cs="Arial"/>
        </w:rPr>
        <w:t>.</w:t>
      </w:r>
    </w:p>
    <w:p w14:paraId="7E8526F9" w14:textId="77777777" w:rsidR="00ED0BD0" w:rsidRPr="0050716E"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16" w:name="_Toc132635590"/>
      <w:r w:rsidRPr="002748EF">
        <w:rPr>
          <w:rFonts w:cs="Arial"/>
          <w:b/>
          <w:bCs/>
          <w:sz w:val="28"/>
          <w:szCs w:val="28"/>
        </w:rPr>
        <w:t>Arrangements</w:t>
      </w:r>
      <w:bookmarkEnd w:id="16"/>
    </w:p>
    <w:p w14:paraId="6EA45910" w14:textId="77777777" w:rsidR="00553826" w:rsidRDefault="005B1CD3" w:rsidP="00553826">
      <w:pPr>
        <w:numPr>
          <w:ilvl w:val="1"/>
          <w:numId w:val="11"/>
        </w:numPr>
        <w:spacing w:after="240"/>
        <w:rPr>
          <w:rFonts w:cs="Arial"/>
        </w:rPr>
      </w:pPr>
      <w:r w:rsidRPr="00861C4F">
        <w:rPr>
          <w:rFonts w:cs="Arial"/>
          <w:b/>
        </w:rPr>
        <w:t>Principle 1:</w:t>
      </w:r>
      <w:r w:rsidRPr="00861C4F">
        <w:rPr>
          <w:rFonts w:cs="Arial"/>
        </w:rPr>
        <w:t xml:space="preserve"> </w:t>
      </w:r>
      <w:r w:rsidR="00943B37" w:rsidRPr="00853BDA">
        <w:rPr>
          <w:rFonts w:cs="Arial"/>
          <w:b/>
          <w:bCs/>
        </w:rPr>
        <w:t>‘lawfulness, fairness and transparency’</w:t>
      </w:r>
      <w:r w:rsidR="00861C4F">
        <w:rPr>
          <w:rFonts w:cs="Arial"/>
        </w:rPr>
        <w:t xml:space="preserve">.  </w:t>
      </w:r>
      <w:r w:rsidR="00666527" w:rsidRPr="00B40081">
        <w:rPr>
          <w:rFonts w:cs="Arial"/>
          <w:bCs/>
          <w:i/>
          <w:iCs/>
        </w:rPr>
        <w:t xml:space="preserve">Personal </w:t>
      </w:r>
      <w:r w:rsidR="00666527" w:rsidRPr="00B40081">
        <w:rPr>
          <w:rFonts w:cs="Arial"/>
          <w:i/>
          <w:iCs/>
        </w:rPr>
        <w:t xml:space="preserve">data shall be </w:t>
      </w:r>
      <w:r w:rsidR="00CF7613" w:rsidRPr="00B40081">
        <w:rPr>
          <w:rFonts w:cs="Arial"/>
          <w:i/>
          <w:iCs/>
        </w:rPr>
        <w:t>processed lawfully, fairly and in a transparent manner in relation to individuals</w:t>
      </w:r>
      <w:r w:rsidR="00861C4F" w:rsidRPr="00B40081">
        <w:rPr>
          <w:rFonts w:cs="Arial"/>
          <w:i/>
          <w:iCs/>
        </w:rPr>
        <w:t>.</w:t>
      </w:r>
    </w:p>
    <w:p w14:paraId="7DBDE3E5" w14:textId="77777777" w:rsidR="00553826" w:rsidRDefault="00126FCA" w:rsidP="00553826">
      <w:pPr>
        <w:numPr>
          <w:ilvl w:val="1"/>
          <w:numId w:val="11"/>
        </w:numPr>
        <w:spacing w:after="240"/>
        <w:rPr>
          <w:rFonts w:cs="Arial"/>
        </w:rPr>
      </w:pPr>
      <w:r w:rsidRPr="00553826">
        <w:rPr>
          <w:rFonts w:cs="Arial"/>
          <w:b/>
        </w:rPr>
        <w:t>Lawfulness</w:t>
      </w:r>
    </w:p>
    <w:p w14:paraId="1D057E7C" w14:textId="77777777" w:rsidR="00553826" w:rsidRDefault="009729DF" w:rsidP="00553826">
      <w:pPr>
        <w:numPr>
          <w:ilvl w:val="1"/>
          <w:numId w:val="11"/>
        </w:numPr>
        <w:spacing w:after="240"/>
        <w:rPr>
          <w:rFonts w:cs="Arial"/>
        </w:rPr>
      </w:pPr>
      <w:r w:rsidRPr="00553826">
        <w:rPr>
          <w:rFonts w:cs="Arial"/>
          <w:bCs/>
        </w:rPr>
        <w:t xml:space="preserve">There is a requirement to ensure </w:t>
      </w:r>
      <w:r w:rsidR="008859A3" w:rsidRPr="00553826">
        <w:rPr>
          <w:rFonts w:cs="Arial"/>
          <w:bCs/>
        </w:rPr>
        <w:t>that all processing of personal data undertaken by the</w:t>
      </w:r>
      <w:r w:rsidRPr="00553826">
        <w:rPr>
          <w:rFonts w:cs="Arial"/>
          <w:bCs/>
        </w:rPr>
        <w:t xml:space="preserve"> Trust</w:t>
      </w:r>
      <w:r w:rsidR="008859A3" w:rsidRPr="00553826">
        <w:rPr>
          <w:rFonts w:cs="Arial"/>
          <w:bCs/>
        </w:rPr>
        <w:t xml:space="preserve"> is lawful.</w:t>
      </w:r>
      <w:r w:rsidR="00B834E6" w:rsidRPr="00553826">
        <w:rPr>
          <w:rFonts w:cs="Arial"/>
          <w:bCs/>
        </w:rPr>
        <w:t xml:space="preserve">  For processing to be lawful the Trust must </w:t>
      </w:r>
      <w:r w:rsidR="00CE08E9" w:rsidRPr="00553826">
        <w:rPr>
          <w:rFonts w:cs="Arial"/>
          <w:bCs/>
        </w:rPr>
        <w:t xml:space="preserve">be able to identify at least one </w:t>
      </w:r>
      <w:r w:rsidR="00623270" w:rsidRPr="00553826">
        <w:rPr>
          <w:rFonts w:cs="Arial"/>
          <w:bCs/>
        </w:rPr>
        <w:t>‘</w:t>
      </w:r>
      <w:r w:rsidR="00CE08E9" w:rsidRPr="00553826">
        <w:rPr>
          <w:rFonts w:cs="Arial"/>
          <w:bCs/>
        </w:rPr>
        <w:t xml:space="preserve">lawful </w:t>
      </w:r>
      <w:r w:rsidR="00623270" w:rsidRPr="00553826">
        <w:rPr>
          <w:rFonts w:cs="Arial"/>
          <w:bCs/>
        </w:rPr>
        <w:t xml:space="preserve">basis’ as </w:t>
      </w:r>
      <w:r w:rsidR="0023613D" w:rsidRPr="00553826">
        <w:rPr>
          <w:rFonts w:cs="Arial"/>
          <w:bCs/>
        </w:rPr>
        <w:t>defined</w:t>
      </w:r>
      <w:r w:rsidR="00623270" w:rsidRPr="00553826">
        <w:rPr>
          <w:rFonts w:cs="Arial"/>
          <w:bCs/>
        </w:rPr>
        <w:t xml:space="preserve"> within data protection law </w:t>
      </w:r>
      <w:r w:rsidR="0023613D" w:rsidRPr="00553826">
        <w:rPr>
          <w:rFonts w:cs="Arial"/>
          <w:bCs/>
        </w:rPr>
        <w:t>that</w:t>
      </w:r>
      <w:r w:rsidR="00064F65" w:rsidRPr="00553826">
        <w:rPr>
          <w:rFonts w:cs="Arial"/>
          <w:bCs/>
        </w:rPr>
        <w:t xml:space="preserve"> permits personal data to be processed.  </w:t>
      </w:r>
      <w:r w:rsidR="00596B36" w:rsidRPr="00553826">
        <w:rPr>
          <w:rFonts w:cs="Arial"/>
          <w:bCs/>
        </w:rPr>
        <w:t>Data Protection law provides six options which depend on</w:t>
      </w:r>
      <w:r w:rsidR="00853486" w:rsidRPr="00553826">
        <w:rPr>
          <w:rFonts w:cs="Arial"/>
          <w:bCs/>
        </w:rPr>
        <w:t xml:space="preserve"> </w:t>
      </w:r>
      <w:r w:rsidR="001B69EB" w:rsidRPr="00553826">
        <w:rPr>
          <w:rFonts w:cs="Arial"/>
          <w:bCs/>
        </w:rPr>
        <w:t xml:space="preserve">the purpose </w:t>
      </w:r>
      <w:r w:rsidR="00354E78" w:rsidRPr="00553826">
        <w:rPr>
          <w:rFonts w:cs="Arial"/>
          <w:bCs/>
        </w:rPr>
        <w:t xml:space="preserve">of any processing </w:t>
      </w:r>
      <w:r w:rsidR="001B69EB" w:rsidRPr="00553826">
        <w:rPr>
          <w:rFonts w:cs="Arial"/>
          <w:bCs/>
        </w:rPr>
        <w:t>and the relationship with the individual</w:t>
      </w:r>
      <w:r w:rsidR="00853486" w:rsidRPr="00553826">
        <w:rPr>
          <w:rFonts w:cs="Arial"/>
          <w:bCs/>
        </w:rPr>
        <w:t>s whose data is being processed</w:t>
      </w:r>
      <w:r w:rsidR="00354E78" w:rsidRPr="00553826">
        <w:rPr>
          <w:rFonts w:cs="Arial"/>
          <w:bCs/>
        </w:rPr>
        <w:t>.</w:t>
      </w:r>
      <w:r w:rsidR="00B834E6" w:rsidRPr="00553826">
        <w:rPr>
          <w:rFonts w:cs="Arial"/>
          <w:bCs/>
        </w:rPr>
        <w:t xml:space="preserve"> </w:t>
      </w:r>
    </w:p>
    <w:p w14:paraId="087BA725" w14:textId="77777777" w:rsidR="00553826" w:rsidRDefault="00C36974" w:rsidP="00553826">
      <w:pPr>
        <w:numPr>
          <w:ilvl w:val="1"/>
          <w:numId w:val="11"/>
        </w:numPr>
        <w:spacing w:after="240"/>
        <w:rPr>
          <w:rFonts w:cs="Arial"/>
        </w:rPr>
      </w:pPr>
      <w:r w:rsidRPr="18BB3A9C">
        <w:rPr>
          <w:rFonts w:cs="Arial"/>
        </w:rPr>
        <w:t xml:space="preserve">As a public authority </w:t>
      </w:r>
      <w:r w:rsidR="00F51E1D" w:rsidRPr="18BB3A9C">
        <w:rPr>
          <w:rFonts w:cs="Arial"/>
        </w:rPr>
        <w:t xml:space="preserve">the Trust’s functions and activities are set out </w:t>
      </w:r>
      <w:r w:rsidR="00184112" w:rsidRPr="18BB3A9C">
        <w:rPr>
          <w:rFonts w:cs="Arial"/>
        </w:rPr>
        <w:t>in law</w:t>
      </w:r>
      <w:r w:rsidR="000C612D" w:rsidRPr="18BB3A9C">
        <w:rPr>
          <w:rFonts w:cs="Arial"/>
        </w:rPr>
        <w:t>.  It is this</w:t>
      </w:r>
      <w:r w:rsidR="00DF2080" w:rsidRPr="18BB3A9C">
        <w:rPr>
          <w:rFonts w:cs="Arial"/>
        </w:rPr>
        <w:t xml:space="preserve"> which </w:t>
      </w:r>
      <w:r w:rsidR="004C2BFD" w:rsidRPr="18BB3A9C">
        <w:rPr>
          <w:rFonts w:cs="Arial"/>
        </w:rPr>
        <w:t xml:space="preserve">conveys </w:t>
      </w:r>
      <w:r w:rsidR="00DF2080" w:rsidRPr="18BB3A9C">
        <w:rPr>
          <w:rFonts w:cs="Arial"/>
        </w:rPr>
        <w:t xml:space="preserve">‘official authority’ </w:t>
      </w:r>
      <w:r w:rsidR="00F10CF3" w:rsidRPr="18BB3A9C">
        <w:rPr>
          <w:rFonts w:cs="Arial"/>
        </w:rPr>
        <w:t>on</w:t>
      </w:r>
      <w:r w:rsidR="00F22264" w:rsidRPr="18BB3A9C">
        <w:rPr>
          <w:rFonts w:cs="Arial"/>
        </w:rPr>
        <w:t>to</w:t>
      </w:r>
      <w:r w:rsidR="00DF2080" w:rsidRPr="18BB3A9C">
        <w:rPr>
          <w:rFonts w:cs="Arial"/>
        </w:rPr>
        <w:t xml:space="preserve"> the Trust</w:t>
      </w:r>
      <w:r w:rsidR="001144E7" w:rsidRPr="18BB3A9C">
        <w:rPr>
          <w:rFonts w:cs="Arial"/>
        </w:rPr>
        <w:t xml:space="preserve"> to operate and act</w:t>
      </w:r>
      <w:r w:rsidR="00DF2080" w:rsidRPr="18BB3A9C">
        <w:rPr>
          <w:rFonts w:cs="Arial"/>
        </w:rPr>
        <w:t xml:space="preserve"> </w:t>
      </w:r>
      <w:r w:rsidR="00B4529E" w:rsidRPr="18BB3A9C">
        <w:rPr>
          <w:rFonts w:cs="Arial"/>
        </w:rPr>
        <w:t>and provides a</w:t>
      </w:r>
      <w:r w:rsidR="00906738" w:rsidRPr="18BB3A9C">
        <w:rPr>
          <w:rFonts w:cs="Arial"/>
        </w:rPr>
        <w:t xml:space="preserve"> basis in law (a</w:t>
      </w:r>
      <w:r w:rsidR="00B4529E" w:rsidRPr="18BB3A9C">
        <w:rPr>
          <w:rFonts w:cs="Arial"/>
        </w:rPr>
        <w:t xml:space="preserve"> ‘legal basis’</w:t>
      </w:r>
      <w:r w:rsidR="00906738" w:rsidRPr="18BB3A9C">
        <w:rPr>
          <w:rFonts w:cs="Arial"/>
        </w:rPr>
        <w:t>)</w:t>
      </w:r>
      <w:r w:rsidR="00B4529E" w:rsidRPr="18BB3A9C">
        <w:rPr>
          <w:rFonts w:cs="Arial"/>
        </w:rPr>
        <w:t xml:space="preserve"> for the Trust to</w:t>
      </w:r>
      <w:r w:rsidR="00DF2080" w:rsidRPr="18BB3A9C">
        <w:rPr>
          <w:rFonts w:cs="Arial"/>
        </w:rPr>
        <w:t xml:space="preserve"> </w:t>
      </w:r>
      <w:r w:rsidR="005A62A6" w:rsidRPr="18BB3A9C">
        <w:rPr>
          <w:rFonts w:cs="Arial"/>
        </w:rPr>
        <w:t xml:space="preserve">undertake </w:t>
      </w:r>
      <w:proofErr w:type="gramStart"/>
      <w:r w:rsidR="005A62A6" w:rsidRPr="18BB3A9C">
        <w:rPr>
          <w:rFonts w:cs="Arial"/>
        </w:rPr>
        <w:t>the majority of</w:t>
      </w:r>
      <w:proofErr w:type="gramEnd"/>
      <w:r w:rsidR="005A62A6" w:rsidRPr="18BB3A9C">
        <w:rPr>
          <w:rFonts w:cs="Arial"/>
        </w:rPr>
        <w:t xml:space="preserve"> its activities</w:t>
      </w:r>
      <w:r w:rsidR="004C2BFD" w:rsidRPr="18BB3A9C">
        <w:rPr>
          <w:rFonts w:cs="Arial"/>
        </w:rPr>
        <w:t xml:space="preserve">, including those which require </w:t>
      </w:r>
      <w:r w:rsidR="001B1941" w:rsidRPr="18BB3A9C">
        <w:rPr>
          <w:rFonts w:cs="Arial"/>
        </w:rPr>
        <w:t>the processing of personal data</w:t>
      </w:r>
      <w:r w:rsidR="00FA2DBC" w:rsidRPr="18BB3A9C">
        <w:rPr>
          <w:rFonts w:cs="Arial"/>
        </w:rPr>
        <w:t>.</w:t>
      </w:r>
      <w:r w:rsidR="00CB522C" w:rsidRPr="18BB3A9C">
        <w:rPr>
          <w:rFonts w:cs="Arial"/>
        </w:rPr>
        <w:t xml:space="preserve"> </w:t>
      </w:r>
      <w:r w:rsidR="007F02BB" w:rsidRPr="18BB3A9C">
        <w:rPr>
          <w:rFonts w:cs="Arial"/>
        </w:rPr>
        <w:t xml:space="preserve"> </w:t>
      </w:r>
      <w:r w:rsidR="009E6DF0" w:rsidRPr="18BB3A9C">
        <w:rPr>
          <w:rFonts w:cs="Arial"/>
        </w:rPr>
        <w:t>On</w:t>
      </w:r>
      <w:r w:rsidR="00F959F8" w:rsidRPr="18BB3A9C">
        <w:rPr>
          <w:rFonts w:cs="Arial"/>
        </w:rPr>
        <w:t>e</w:t>
      </w:r>
      <w:r w:rsidR="009E6DF0" w:rsidRPr="18BB3A9C">
        <w:rPr>
          <w:rFonts w:cs="Arial"/>
        </w:rPr>
        <w:t xml:space="preserve"> of the lawful bases </w:t>
      </w:r>
      <w:r w:rsidR="003F29A7" w:rsidRPr="18BB3A9C">
        <w:rPr>
          <w:rFonts w:cs="Arial"/>
        </w:rPr>
        <w:t>provided within d</w:t>
      </w:r>
      <w:r w:rsidR="00AF4A1F" w:rsidRPr="18BB3A9C">
        <w:rPr>
          <w:rFonts w:cs="Arial"/>
        </w:rPr>
        <w:t xml:space="preserve">ata protection law </w:t>
      </w:r>
      <w:r w:rsidR="003F29A7" w:rsidRPr="18BB3A9C">
        <w:rPr>
          <w:rFonts w:cs="Arial"/>
        </w:rPr>
        <w:t xml:space="preserve">specifically </w:t>
      </w:r>
      <w:r w:rsidR="00C04DA6" w:rsidRPr="18BB3A9C">
        <w:rPr>
          <w:rFonts w:cs="Arial"/>
        </w:rPr>
        <w:t xml:space="preserve">enables those with </w:t>
      </w:r>
      <w:r w:rsidR="00000BC7" w:rsidRPr="18BB3A9C">
        <w:rPr>
          <w:rFonts w:cs="Arial"/>
        </w:rPr>
        <w:t>‘</w:t>
      </w:r>
      <w:r w:rsidR="00850923" w:rsidRPr="18BB3A9C">
        <w:rPr>
          <w:rFonts w:cs="Arial"/>
        </w:rPr>
        <w:t>official authority</w:t>
      </w:r>
      <w:r w:rsidR="00000BC7" w:rsidRPr="18BB3A9C">
        <w:rPr>
          <w:rFonts w:cs="Arial"/>
        </w:rPr>
        <w:t>’</w:t>
      </w:r>
      <w:r w:rsidR="003A4240" w:rsidRPr="18BB3A9C">
        <w:rPr>
          <w:rFonts w:cs="Arial"/>
        </w:rPr>
        <w:t xml:space="preserve"> established</w:t>
      </w:r>
      <w:r w:rsidR="00850923" w:rsidRPr="18BB3A9C">
        <w:rPr>
          <w:rFonts w:cs="Arial"/>
        </w:rPr>
        <w:t xml:space="preserve"> </w:t>
      </w:r>
      <w:r w:rsidR="00900B83" w:rsidRPr="18BB3A9C">
        <w:rPr>
          <w:rFonts w:cs="Arial"/>
        </w:rPr>
        <w:t xml:space="preserve">in law </w:t>
      </w:r>
      <w:r w:rsidR="00E23CC4" w:rsidRPr="18BB3A9C">
        <w:rPr>
          <w:rFonts w:cs="Arial"/>
        </w:rPr>
        <w:t xml:space="preserve">to process personal data lawfully </w:t>
      </w:r>
      <w:r w:rsidR="0098715C" w:rsidRPr="18BB3A9C">
        <w:rPr>
          <w:rFonts w:cs="Arial"/>
        </w:rPr>
        <w:t xml:space="preserve">when </w:t>
      </w:r>
      <w:r w:rsidR="00E23CC4" w:rsidRPr="18BB3A9C">
        <w:rPr>
          <w:rFonts w:cs="Arial"/>
        </w:rPr>
        <w:t>carry</w:t>
      </w:r>
      <w:r w:rsidR="003A4240" w:rsidRPr="18BB3A9C">
        <w:rPr>
          <w:rFonts w:cs="Arial"/>
        </w:rPr>
        <w:t>ing</w:t>
      </w:r>
      <w:r w:rsidR="00E23CC4" w:rsidRPr="18BB3A9C">
        <w:rPr>
          <w:rFonts w:cs="Arial"/>
        </w:rPr>
        <w:t xml:space="preserve"> out their public </w:t>
      </w:r>
      <w:r w:rsidR="006F20C7" w:rsidRPr="18BB3A9C">
        <w:rPr>
          <w:rFonts w:cs="Arial"/>
        </w:rPr>
        <w:t>functions and tasks</w:t>
      </w:r>
      <w:r w:rsidR="00E23CC4" w:rsidRPr="18BB3A9C">
        <w:rPr>
          <w:rFonts w:cs="Arial"/>
        </w:rPr>
        <w:t xml:space="preserve">. </w:t>
      </w:r>
      <w:r w:rsidR="006F20C7" w:rsidRPr="18BB3A9C">
        <w:rPr>
          <w:rFonts w:cs="Arial"/>
        </w:rPr>
        <w:t xml:space="preserve"> </w:t>
      </w:r>
      <w:r w:rsidR="0098715C" w:rsidRPr="18BB3A9C">
        <w:rPr>
          <w:rFonts w:cs="Arial"/>
        </w:rPr>
        <w:t xml:space="preserve">Where the Trust can identify it’s ‘official authority’ in law </w:t>
      </w:r>
      <w:r w:rsidR="00900B83" w:rsidRPr="18BB3A9C">
        <w:rPr>
          <w:rFonts w:cs="Arial"/>
        </w:rPr>
        <w:t>to undertake an activity it will rely on</w:t>
      </w:r>
      <w:r w:rsidR="00000BC7" w:rsidRPr="18BB3A9C">
        <w:rPr>
          <w:rFonts w:cs="Arial"/>
        </w:rPr>
        <w:t xml:space="preserve"> th</w:t>
      </w:r>
      <w:r w:rsidR="007952CE" w:rsidRPr="18BB3A9C">
        <w:rPr>
          <w:rFonts w:cs="Arial"/>
        </w:rPr>
        <w:t>e ‘public task’</w:t>
      </w:r>
      <w:r w:rsidR="00000BC7" w:rsidRPr="18BB3A9C">
        <w:rPr>
          <w:rFonts w:cs="Arial"/>
        </w:rPr>
        <w:t xml:space="preserve"> lawful basis</w:t>
      </w:r>
      <w:r w:rsidR="007952CE" w:rsidRPr="18BB3A9C">
        <w:rPr>
          <w:rFonts w:cs="Arial"/>
        </w:rPr>
        <w:t xml:space="preserve"> </w:t>
      </w:r>
      <w:r w:rsidR="00D43E7A" w:rsidRPr="18BB3A9C">
        <w:rPr>
          <w:rFonts w:cs="Arial"/>
        </w:rPr>
        <w:t>within data protection law t</w:t>
      </w:r>
      <w:r w:rsidR="007952CE" w:rsidRPr="18BB3A9C">
        <w:rPr>
          <w:rFonts w:cs="Arial"/>
        </w:rPr>
        <w:t>o ensure its processing of personal data is lawful.</w:t>
      </w:r>
      <w:r w:rsidR="00000BC7" w:rsidRPr="18BB3A9C">
        <w:rPr>
          <w:rFonts w:cs="Arial"/>
        </w:rPr>
        <w:t xml:space="preserve"> </w:t>
      </w:r>
      <w:r w:rsidR="00900B83" w:rsidRPr="18BB3A9C">
        <w:rPr>
          <w:rFonts w:cs="Arial"/>
        </w:rPr>
        <w:t xml:space="preserve"> </w:t>
      </w:r>
      <w:r w:rsidR="00950103" w:rsidRPr="18BB3A9C">
        <w:rPr>
          <w:rFonts w:cs="Arial"/>
        </w:rPr>
        <w:t xml:space="preserve">Where the Trust cannot identify a legal basis which </w:t>
      </w:r>
      <w:r w:rsidR="00865498" w:rsidRPr="18BB3A9C">
        <w:rPr>
          <w:rFonts w:cs="Arial"/>
        </w:rPr>
        <w:t>provides the</w:t>
      </w:r>
      <w:r w:rsidR="002E0158" w:rsidRPr="18BB3A9C">
        <w:rPr>
          <w:rFonts w:cs="Arial"/>
        </w:rPr>
        <w:t xml:space="preserve"> ‘official authority’ to act it will ensure an alternative lawful basis under data protection law is applicable.</w:t>
      </w:r>
    </w:p>
    <w:p w14:paraId="5736DA43" w14:textId="4B86DE73" w:rsidR="0D2F891C" w:rsidRDefault="0D2F891C" w:rsidP="18BB3A9C">
      <w:pPr>
        <w:numPr>
          <w:ilvl w:val="1"/>
          <w:numId w:val="11"/>
        </w:numPr>
        <w:spacing w:after="240"/>
        <w:rPr>
          <w:rFonts w:cs="Arial"/>
        </w:rPr>
      </w:pPr>
      <w:r w:rsidRPr="124486BD">
        <w:rPr>
          <w:rFonts w:cs="Arial"/>
        </w:rPr>
        <w:t>In addition to its core statutory functions, the Trust may lawfully process and provid</w:t>
      </w:r>
      <w:r w:rsidR="1A279FC6" w:rsidRPr="124486BD">
        <w:rPr>
          <w:rFonts w:cs="Arial"/>
        </w:rPr>
        <w:t>e access to data for wider health and care purposes, including research</w:t>
      </w:r>
      <w:r w:rsidR="3A4D1B6F" w:rsidRPr="124486BD">
        <w:rPr>
          <w:rFonts w:cs="Arial"/>
        </w:rPr>
        <w:t xml:space="preserve">, system planning, population health </w:t>
      </w:r>
      <w:proofErr w:type="gramStart"/>
      <w:r w:rsidR="3A4D1B6F" w:rsidRPr="124486BD">
        <w:rPr>
          <w:rFonts w:cs="Arial"/>
        </w:rPr>
        <w:t xml:space="preserve">management </w:t>
      </w:r>
      <w:r w:rsidR="22426D2C" w:rsidRPr="124486BD">
        <w:rPr>
          <w:rFonts w:cs="Arial"/>
        </w:rPr>
        <w:t xml:space="preserve"> and</w:t>
      </w:r>
      <w:proofErr w:type="gramEnd"/>
      <w:r w:rsidR="22426D2C" w:rsidRPr="124486BD">
        <w:rPr>
          <w:rFonts w:cs="Arial"/>
        </w:rPr>
        <w:t xml:space="preserve"> service </w:t>
      </w:r>
      <w:r w:rsidR="177E006D" w:rsidRPr="124486BD">
        <w:rPr>
          <w:rFonts w:cs="Arial"/>
        </w:rPr>
        <w:t>improvement, where</w:t>
      </w:r>
      <w:r w:rsidR="22426D2C" w:rsidRPr="124486BD">
        <w:rPr>
          <w:rFonts w:cs="Arial"/>
        </w:rPr>
        <w:t xml:space="preserve"> such </w:t>
      </w:r>
      <w:r w:rsidR="3FCF0141" w:rsidRPr="124486BD">
        <w:rPr>
          <w:rFonts w:cs="Arial"/>
        </w:rPr>
        <w:t xml:space="preserve">processing is supported by </w:t>
      </w:r>
      <w:r w:rsidR="01A7ED9D" w:rsidRPr="124486BD">
        <w:rPr>
          <w:rFonts w:cs="Arial"/>
        </w:rPr>
        <w:t xml:space="preserve">data protection </w:t>
      </w:r>
      <w:proofErr w:type="gramStart"/>
      <w:r w:rsidR="01A7ED9D" w:rsidRPr="124486BD">
        <w:rPr>
          <w:rFonts w:cs="Arial"/>
        </w:rPr>
        <w:t xml:space="preserve">legislation, </w:t>
      </w:r>
      <w:r w:rsidR="3FCF0141" w:rsidRPr="124486BD">
        <w:rPr>
          <w:rFonts w:cs="Arial"/>
        </w:rPr>
        <w:t xml:space="preserve"> D</w:t>
      </w:r>
      <w:r w:rsidR="3C325F06" w:rsidRPr="124486BD">
        <w:rPr>
          <w:rFonts w:cs="Arial"/>
        </w:rPr>
        <w:t>ata</w:t>
      </w:r>
      <w:proofErr w:type="gramEnd"/>
      <w:r w:rsidR="3C325F06" w:rsidRPr="124486BD">
        <w:rPr>
          <w:rFonts w:cs="Arial"/>
        </w:rPr>
        <w:t xml:space="preserve"> Use and Access Act </w:t>
      </w:r>
      <w:r w:rsidR="3FCF0141" w:rsidRPr="124486BD">
        <w:rPr>
          <w:rFonts w:cs="Arial"/>
        </w:rPr>
        <w:t xml:space="preserve">2025, </w:t>
      </w:r>
      <w:r w:rsidR="2E051279" w:rsidRPr="124486BD">
        <w:rPr>
          <w:rFonts w:cs="Arial"/>
        </w:rPr>
        <w:t xml:space="preserve">with </w:t>
      </w:r>
      <w:r w:rsidR="3FCF0141" w:rsidRPr="124486BD">
        <w:rPr>
          <w:rFonts w:cs="Arial"/>
        </w:rPr>
        <w:t>appropriate safeguards in place.</w:t>
      </w:r>
    </w:p>
    <w:p w14:paraId="0A6FC2F0" w14:textId="77777777" w:rsidR="00553826" w:rsidRPr="00553826" w:rsidRDefault="00285363" w:rsidP="00B47BD6">
      <w:pPr>
        <w:numPr>
          <w:ilvl w:val="1"/>
          <w:numId w:val="11"/>
        </w:numPr>
        <w:spacing w:after="240"/>
        <w:rPr>
          <w:rFonts w:cs="Arial"/>
          <w:b/>
        </w:rPr>
      </w:pPr>
      <w:r w:rsidRPr="00553826">
        <w:rPr>
          <w:rFonts w:cs="Arial"/>
          <w:bCs/>
        </w:rPr>
        <w:t xml:space="preserve">Lawfulness also means that the Trust must not do anything with personal data which is unlawful in a more general sense. This includes statute and common law obligations, whether criminal or civil. </w:t>
      </w:r>
    </w:p>
    <w:p w14:paraId="4D57033D" w14:textId="44B2623E" w:rsidR="00285363" w:rsidRPr="00553826" w:rsidRDefault="00950FDB" w:rsidP="00B47BD6">
      <w:pPr>
        <w:numPr>
          <w:ilvl w:val="1"/>
          <w:numId w:val="11"/>
        </w:numPr>
        <w:spacing w:after="240"/>
        <w:rPr>
          <w:rFonts w:cs="Arial"/>
          <w:b/>
        </w:rPr>
      </w:pPr>
      <w:r w:rsidRPr="00553826">
        <w:rPr>
          <w:rFonts w:cs="Arial"/>
          <w:b/>
        </w:rPr>
        <w:t>Examples of p</w:t>
      </w:r>
      <w:r w:rsidR="00285363" w:rsidRPr="00553826">
        <w:rPr>
          <w:rFonts w:cs="Arial"/>
          <w:b/>
        </w:rPr>
        <w:t>rocessing</w:t>
      </w:r>
      <w:r w:rsidR="007F1330" w:rsidRPr="00553826">
        <w:rPr>
          <w:rFonts w:cs="Arial"/>
          <w:b/>
        </w:rPr>
        <w:t xml:space="preserve"> activities </w:t>
      </w:r>
      <w:r w:rsidRPr="00553826">
        <w:rPr>
          <w:rFonts w:cs="Arial"/>
          <w:b/>
        </w:rPr>
        <w:t xml:space="preserve">which </w:t>
      </w:r>
      <w:r w:rsidR="00285363" w:rsidRPr="00553826">
        <w:rPr>
          <w:rFonts w:cs="Arial"/>
          <w:b/>
        </w:rPr>
        <w:t xml:space="preserve">may be </w:t>
      </w:r>
      <w:r w:rsidRPr="00553826">
        <w:rPr>
          <w:rFonts w:cs="Arial"/>
          <w:b/>
        </w:rPr>
        <w:t xml:space="preserve">considered </w:t>
      </w:r>
      <w:r w:rsidR="00285363" w:rsidRPr="00553826">
        <w:rPr>
          <w:rFonts w:cs="Arial"/>
          <w:b/>
        </w:rPr>
        <w:t>unlawful</w:t>
      </w:r>
      <w:r w:rsidR="007F1330" w:rsidRPr="00553826">
        <w:rPr>
          <w:rFonts w:cs="Arial"/>
          <w:b/>
        </w:rPr>
        <w:t xml:space="preserve"> include those which </w:t>
      </w:r>
      <w:r w:rsidR="00285363" w:rsidRPr="00553826">
        <w:rPr>
          <w:rFonts w:cs="Arial"/>
          <w:b/>
        </w:rPr>
        <w:t>result in:</w:t>
      </w:r>
    </w:p>
    <w:p w14:paraId="5FBDC666" w14:textId="100C5AA0" w:rsidR="00950FDB" w:rsidRDefault="00285363" w:rsidP="009F46E6">
      <w:pPr>
        <w:numPr>
          <w:ilvl w:val="4"/>
          <w:numId w:val="27"/>
        </w:numPr>
        <w:spacing w:after="240"/>
        <w:ind w:left="1701"/>
        <w:rPr>
          <w:rFonts w:cs="Arial"/>
          <w:bCs/>
        </w:rPr>
      </w:pPr>
      <w:r>
        <w:rPr>
          <w:rFonts w:cs="Arial"/>
          <w:bCs/>
        </w:rPr>
        <w:t>A</w:t>
      </w:r>
      <w:r w:rsidRPr="00285363">
        <w:rPr>
          <w:rFonts w:cs="Arial"/>
          <w:bCs/>
        </w:rPr>
        <w:t xml:space="preserve"> criminal offence</w:t>
      </w:r>
      <w:r>
        <w:rPr>
          <w:rFonts w:cs="Arial"/>
          <w:bCs/>
        </w:rPr>
        <w:t xml:space="preserve"> being </w:t>
      </w:r>
      <w:proofErr w:type="gramStart"/>
      <w:r>
        <w:rPr>
          <w:rFonts w:cs="Arial"/>
          <w:bCs/>
        </w:rPr>
        <w:t>committed</w:t>
      </w:r>
      <w:r w:rsidR="00950FDB">
        <w:rPr>
          <w:rFonts w:cs="Arial"/>
          <w:bCs/>
        </w:rPr>
        <w:t>;</w:t>
      </w:r>
      <w:proofErr w:type="gramEnd"/>
    </w:p>
    <w:p w14:paraId="1E242C01" w14:textId="660DC9BC" w:rsidR="00285363" w:rsidRPr="00285363" w:rsidRDefault="00950FDB" w:rsidP="009F46E6">
      <w:pPr>
        <w:numPr>
          <w:ilvl w:val="4"/>
          <w:numId w:val="27"/>
        </w:numPr>
        <w:spacing w:after="240"/>
        <w:ind w:left="1701"/>
        <w:rPr>
          <w:rFonts w:cs="Arial"/>
          <w:bCs/>
        </w:rPr>
      </w:pPr>
      <w:r>
        <w:rPr>
          <w:rFonts w:cs="Arial"/>
          <w:bCs/>
        </w:rPr>
        <w:t>A</w:t>
      </w:r>
      <w:r w:rsidR="00285363" w:rsidRPr="00285363">
        <w:rPr>
          <w:rFonts w:cs="Arial"/>
          <w:bCs/>
        </w:rPr>
        <w:t xml:space="preserve"> breach of a duty of </w:t>
      </w:r>
      <w:proofErr w:type="gramStart"/>
      <w:r w:rsidR="00285363" w:rsidRPr="00285363">
        <w:rPr>
          <w:rFonts w:cs="Arial"/>
          <w:bCs/>
        </w:rPr>
        <w:t>confid</w:t>
      </w:r>
      <w:r w:rsidR="00601CE7">
        <w:rPr>
          <w:rFonts w:cs="Arial"/>
          <w:bCs/>
        </w:rPr>
        <w:t>entiality</w:t>
      </w:r>
      <w:r w:rsidR="00285363" w:rsidRPr="00285363">
        <w:rPr>
          <w:rFonts w:cs="Arial"/>
          <w:bCs/>
        </w:rPr>
        <w:t>;</w:t>
      </w:r>
      <w:proofErr w:type="gramEnd"/>
    </w:p>
    <w:p w14:paraId="6CB8EAF7" w14:textId="5023A252" w:rsidR="00285363" w:rsidRPr="00285363" w:rsidRDefault="00950FDB" w:rsidP="009F46E6">
      <w:pPr>
        <w:numPr>
          <w:ilvl w:val="4"/>
          <w:numId w:val="27"/>
        </w:numPr>
        <w:spacing w:after="240"/>
        <w:ind w:left="1701"/>
        <w:rPr>
          <w:rFonts w:cs="Arial"/>
          <w:bCs/>
        </w:rPr>
      </w:pPr>
      <w:r>
        <w:rPr>
          <w:rFonts w:cs="Arial"/>
          <w:bCs/>
        </w:rPr>
        <w:t xml:space="preserve">The organisation </w:t>
      </w:r>
      <w:r w:rsidR="00285363" w:rsidRPr="00285363">
        <w:rPr>
          <w:rFonts w:cs="Arial"/>
          <w:bCs/>
        </w:rPr>
        <w:t xml:space="preserve">exceeding its legal powers or exercising those powers </w:t>
      </w:r>
      <w:proofErr w:type="gramStart"/>
      <w:r w:rsidR="00285363" w:rsidRPr="00285363">
        <w:rPr>
          <w:rFonts w:cs="Arial"/>
          <w:bCs/>
        </w:rPr>
        <w:t>improperly;</w:t>
      </w:r>
      <w:proofErr w:type="gramEnd"/>
    </w:p>
    <w:p w14:paraId="0D1B0650" w14:textId="45243125" w:rsidR="00285363" w:rsidRPr="00285363" w:rsidRDefault="00950FDB" w:rsidP="009F46E6">
      <w:pPr>
        <w:numPr>
          <w:ilvl w:val="4"/>
          <w:numId w:val="27"/>
        </w:numPr>
        <w:spacing w:after="240"/>
        <w:ind w:left="1701"/>
        <w:rPr>
          <w:rFonts w:cs="Arial"/>
          <w:bCs/>
        </w:rPr>
      </w:pPr>
      <w:r>
        <w:rPr>
          <w:rFonts w:cs="Arial"/>
          <w:bCs/>
        </w:rPr>
        <w:t>A</w:t>
      </w:r>
      <w:r w:rsidR="00285363" w:rsidRPr="00285363">
        <w:rPr>
          <w:rFonts w:cs="Arial"/>
          <w:bCs/>
        </w:rPr>
        <w:t xml:space="preserve">n infringement of </w:t>
      </w:r>
      <w:proofErr w:type="gramStart"/>
      <w:r w:rsidR="00285363" w:rsidRPr="00285363">
        <w:rPr>
          <w:rFonts w:cs="Arial"/>
          <w:bCs/>
        </w:rPr>
        <w:t>copyright;</w:t>
      </w:r>
      <w:proofErr w:type="gramEnd"/>
    </w:p>
    <w:p w14:paraId="60CDD2D9" w14:textId="3DCBCC47" w:rsidR="00285363" w:rsidRPr="00285363" w:rsidRDefault="00950FDB" w:rsidP="009F46E6">
      <w:pPr>
        <w:numPr>
          <w:ilvl w:val="4"/>
          <w:numId w:val="27"/>
        </w:numPr>
        <w:spacing w:after="240"/>
        <w:ind w:left="1701"/>
        <w:rPr>
          <w:rFonts w:cs="Arial"/>
          <w:bCs/>
        </w:rPr>
      </w:pPr>
      <w:r>
        <w:rPr>
          <w:rFonts w:cs="Arial"/>
          <w:bCs/>
        </w:rPr>
        <w:t>A</w:t>
      </w:r>
      <w:r w:rsidR="00285363" w:rsidRPr="00285363">
        <w:rPr>
          <w:rFonts w:cs="Arial"/>
          <w:bCs/>
        </w:rPr>
        <w:t xml:space="preserve"> breach of an enforceable contractual </w:t>
      </w:r>
      <w:proofErr w:type="gramStart"/>
      <w:r w:rsidR="00285363" w:rsidRPr="00285363">
        <w:rPr>
          <w:rFonts w:cs="Arial"/>
          <w:bCs/>
        </w:rPr>
        <w:t>agreement;</w:t>
      </w:r>
      <w:proofErr w:type="gramEnd"/>
    </w:p>
    <w:p w14:paraId="531EB9FB" w14:textId="1DDD8D66" w:rsidR="00285363" w:rsidRPr="00285363" w:rsidRDefault="00950FDB" w:rsidP="009F46E6">
      <w:pPr>
        <w:numPr>
          <w:ilvl w:val="4"/>
          <w:numId w:val="27"/>
        </w:numPr>
        <w:spacing w:after="240"/>
        <w:ind w:left="1701"/>
        <w:rPr>
          <w:rFonts w:cs="Arial"/>
          <w:bCs/>
        </w:rPr>
      </w:pPr>
      <w:r>
        <w:rPr>
          <w:rFonts w:cs="Arial"/>
          <w:bCs/>
        </w:rPr>
        <w:t>A</w:t>
      </w:r>
      <w:r w:rsidR="00285363" w:rsidRPr="00285363">
        <w:rPr>
          <w:rFonts w:cs="Arial"/>
          <w:bCs/>
        </w:rPr>
        <w:t xml:space="preserve"> breach of industry-specific legislation or regulations; or</w:t>
      </w:r>
    </w:p>
    <w:p w14:paraId="55454BA5" w14:textId="08A66F2E" w:rsidR="0073762D" w:rsidRPr="007F1330" w:rsidRDefault="00950FDB" w:rsidP="009F46E6">
      <w:pPr>
        <w:numPr>
          <w:ilvl w:val="4"/>
          <w:numId w:val="27"/>
        </w:numPr>
        <w:spacing w:after="240"/>
        <w:ind w:left="1701"/>
        <w:rPr>
          <w:rFonts w:cs="Arial"/>
          <w:bCs/>
        </w:rPr>
      </w:pPr>
      <w:r>
        <w:rPr>
          <w:rFonts w:cs="Arial"/>
          <w:bCs/>
        </w:rPr>
        <w:t>A</w:t>
      </w:r>
      <w:r w:rsidR="00285363" w:rsidRPr="00285363">
        <w:rPr>
          <w:rFonts w:cs="Arial"/>
          <w:bCs/>
        </w:rPr>
        <w:t xml:space="preserve"> breach of the Human Rights Act 1998.</w:t>
      </w:r>
    </w:p>
    <w:p w14:paraId="6A50101B" w14:textId="13A2FBC7" w:rsidR="00F1790C" w:rsidRPr="00FE3B43" w:rsidRDefault="00673AD0" w:rsidP="00553826">
      <w:pPr>
        <w:numPr>
          <w:ilvl w:val="1"/>
          <w:numId w:val="11"/>
        </w:numPr>
        <w:spacing w:after="240"/>
        <w:rPr>
          <w:rFonts w:cs="Arial"/>
          <w:b/>
        </w:rPr>
      </w:pPr>
      <w:r w:rsidRPr="00FE3B43">
        <w:rPr>
          <w:rFonts w:cs="Arial"/>
          <w:b/>
        </w:rPr>
        <w:t>To ensure all processing of personal data remain lawful t</w:t>
      </w:r>
      <w:r w:rsidR="00B34443" w:rsidRPr="00FE3B43">
        <w:rPr>
          <w:rFonts w:cs="Arial"/>
          <w:b/>
        </w:rPr>
        <w:t>he</w:t>
      </w:r>
      <w:r w:rsidR="008856CC" w:rsidRPr="00FE3B43">
        <w:rPr>
          <w:rFonts w:cs="Arial"/>
          <w:b/>
        </w:rPr>
        <w:t xml:space="preserve"> Trust </w:t>
      </w:r>
      <w:r w:rsidR="005A62A6" w:rsidRPr="00FE3B43">
        <w:rPr>
          <w:rFonts w:cs="Arial"/>
          <w:b/>
        </w:rPr>
        <w:t>will ensure that</w:t>
      </w:r>
      <w:r w:rsidR="00B34443" w:rsidRPr="00FE3B43">
        <w:rPr>
          <w:rFonts w:cs="Arial"/>
          <w:b/>
        </w:rPr>
        <w:t>:</w:t>
      </w:r>
    </w:p>
    <w:p w14:paraId="03F41E1F" w14:textId="54925BC8" w:rsidR="00F92403" w:rsidRDefault="00F92403" w:rsidP="009F46E6">
      <w:pPr>
        <w:numPr>
          <w:ilvl w:val="4"/>
          <w:numId w:val="28"/>
        </w:numPr>
        <w:spacing w:after="240"/>
        <w:ind w:left="1701"/>
        <w:rPr>
          <w:rFonts w:cs="Arial"/>
          <w:bCs/>
        </w:rPr>
      </w:pPr>
      <w:r>
        <w:rPr>
          <w:rFonts w:cs="Arial"/>
          <w:bCs/>
        </w:rPr>
        <w:t xml:space="preserve">Personal data is processed for one or more specified </w:t>
      </w:r>
      <w:proofErr w:type="gramStart"/>
      <w:r>
        <w:rPr>
          <w:rFonts w:cs="Arial"/>
          <w:bCs/>
        </w:rPr>
        <w:t>purposes;</w:t>
      </w:r>
      <w:proofErr w:type="gramEnd"/>
    </w:p>
    <w:p w14:paraId="704CD28F" w14:textId="1B574D1D" w:rsidR="007D030C" w:rsidRDefault="007D030C" w:rsidP="009F46E6">
      <w:pPr>
        <w:numPr>
          <w:ilvl w:val="4"/>
          <w:numId w:val="28"/>
        </w:numPr>
        <w:spacing w:after="240"/>
        <w:ind w:left="1701"/>
        <w:rPr>
          <w:rFonts w:cs="Arial"/>
          <w:bCs/>
        </w:rPr>
      </w:pPr>
      <w:r>
        <w:rPr>
          <w:rFonts w:cs="Arial"/>
          <w:bCs/>
        </w:rPr>
        <w:t xml:space="preserve">It has identified </w:t>
      </w:r>
      <w:r w:rsidRPr="00F1790C">
        <w:rPr>
          <w:rFonts w:cs="Arial"/>
          <w:bCs/>
        </w:rPr>
        <w:t xml:space="preserve">a basis in law to process </w:t>
      </w:r>
      <w:r>
        <w:rPr>
          <w:rFonts w:cs="Arial"/>
          <w:bCs/>
        </w:rPr>
        <w:t xml:space="preserve">the </w:t>
      </w:r>
      <w:r w:rsidRPr="00F1790C">
        <w:rPr>
          <w:rFonts w:cs="Arial"/>
          <w:bCs/>
        </w:rPr>
        <w:t xml:space="preserve">personal </w:t>
      </w:r>
      <w:proofErr w:type="gramStart"/>
      <w:r w:rsidRPr="00F1790C">
        <w:rPr>
          <w:rFonts w:cs="Arial"/>
          <w:bCs/>
        </w:rPr>
        <w:t>data</w:t>
      </w:r>
      <w:r>
        <w:rPr>
          <w:rFonts w:cs="Arial"/>
          <w:bCs/>
        </w:rPr>
        <w:t>;</w:t>
      </w:r>
      <w:proofErr w:type="gramEnd"/>
    </w:p>
    <w:p w14:paraId="61BD40E9" w14:textId="203205D3" w:rsidR="000779F8" w:rsidRDefault="00B34443" w:rsidP="009F46E6">
      <w:pPr>
        <w:numPr>
          <w:ilvl w:val="4"/>
          <w:numId w:val="28"/>
        </w:numPr>
        <w:spacing w:after="240"/>
        <w:ind w:left="1701"/>
        <w:rPr>
          <w:rFonts w:cs="Arial"/>
          <w:bCs/>
        </w:rPr>
      </w:pPr>
      <w:r>
        <w:rPr>
          <w:rFonts w:cs="Arial"/>
          <w:bCs/>
        </w:rPr>
        <w:t>I</w:t>
      </w:r>
      <w:r w:rsidR="00F1790C" w:rsidRPr="00F1790C">
        <w:rPr>
          <w:rFonts w:cs="Arial"/>
          <w:bCs/>
        </w:rPr>
        <w:t xml:space="preserve">t is necessary to process the personal data for those purposes (i.e. it is reasonable, proportionate and </w:t>
      </w:r>
      <w:r w:rsidR="00F92403">
        <w:rPr>
          <w:rFonts w:cs="Arial"/>
          <w:bCs/>
        </w:rPr>
        <w:t xml:space="preserve">the objective </w:t>
      </w:r>
      <w:r w:rsidR="00F1790C" w:rsidRPr="00F1790C">
        <w:rPr>
          <w:rFonts w:cs="Arial"/>
          <w:bCs/>
        </w:rPr>
        <w:t xml:space="preserve">cannot </w:t>
      </w:r>
      <w:r w:rsidR="00F92403">
        <w:rPr>
          <w:rFonts w:cs="Arial"/>
          <w:bCs/>
        </w:rPr>
        <w:t xml:space="preserve">be </w:t>
      </w:r>
      <w:r w:rsidR="00F1790C" w:rsidRPr="00F1790C">
        <w:rPr>
          <w:rFonts w:cs="Arial"/>
          <w:bCs/>
        </w:rPr>
        <w:t>achieve</w:t>
      </w:r>
      <w:r w:rsidR="00F92403">
        <w:rPr>
          <w:rFonts w:cs="Arial"/>
          <w:bCs/>
        </w:rPr>
        <w:t>d</w:t>
      </w:r>
      <w:r w:rsidR="00F1790C" w:rsidRPr="00F1790C">
        <w:rPr>
          <w:rFonts w:cs="Arial"/>
          <w:bCs/>
        </w:rPr>
        <w:t xml:space="preserve"> by some other reasonable means</w:t>
      </w:r>
      <w:proofErr w:type="gramStart"/>
      <w:r w:rsidR="00F1790C" w:rsidRPr="00F1790C">
        <w:rPr>
          <w:rFonts w:cs="Arial"/>
          <w:bCs/>
        </w:rPr>
        <w:t>);</w:t>
      </w:r>
      <w:proofErr w:type="gramEnd"/>
    </w:p>
    <w:p w14:paraId="092A7473" w14:textId="0B0B422A" w:rsidR="00522667" w:rsidRPr="000779F8" w:rsidRDefault="00FE207C" w:rsidP="009F46E6">
      <w:pPr>
        <w:numPr>
          <w:ilvl w:val="4"/>
          <w:numId w:val="28"/>
        </w:numPr>
        <w:spacing w:after="240"/>
        <w:ind w:left="1701"/>
        <w:rPr>
          <w:rFonts w:cs="Arial"/>
          <w:bCs/>
        </w:rPr>
      </w:pPr>
      <w:r w:rsidRPr="000779F8">
        <w:rPr>
          <w:rFonts w:cs="Arial"/>
          <w:bCs/>
        </w:rPr>
        <w:t>It</w:t>
      </w:r>
      <w:r w:rsidR="00F1790C" w:rsidRPr="000779F8">
        <w:rPr>
          <w:rFonts w:cs="Arial"/>
          <w:bCs/>
        </w:rPr>
        <w:t xml:space="preserve"> can point to a clear and foreseeable legal basis for th</w:t>
      </w:r>
      <w:r w:rsidRPr="000779F8">
        <w:rPr>
          <w:rFonts w:cs="Arial"/>
          <w:bCs/>
        </w:rPr>
        <w:t>ose</w:t>
      </w:r>
      <w:r w:rsidR="00F1790C" w:rsidRPr="000779F8">
        <w:rPr>
          <w:rFonts w:cs="Arial"/>
          <w:bCs/>
        </w:rPr>
        <w:t xml:space="preserve"> purpose</w:t>
      </w:r>
      <w:r w:rsidRPr="000779F8">
        <w:rPr>
          <w:rFonts w:cs="Arial"/>
          <w:bCs/>
        </w:rPr>
        <w:t>s</w:t>
      </w:r>
      <w:r w:rsidR="00F1790C" w:rsidRPr="000779F8">
        <w:rPr>
          <w:rFonts w:cs="Arial"/>
          <w:bCs/>
        </w:rPr>
        <w:t xml:space="preserve"> under UK law (whether in statute or common law)</w:t>
      </w:r>
      <w:r w:rsidR="009E3BBF">
        <w:rPr>
          <w:rFonts w:cs="Arial"/>
          <w:bCs/>
        </w:rPr>
        <w:t>; and</w:t>
      </w:r>
    </w:p>
    <w:p w14:paraId="6E5F809B" w14:textId="680FC597" w:rsidR="00126FCA" w:rsidRPr="00522667" w:rsidRDefault="00B44ABA" w:rsidP="009F46E6">
      <w:pPr>
        <w:numPr>
          <w:ilvl w:val="4"/>
          <w:numId w:val="28"/>
        </w:numPr>
        <w:spacing w:after="240"/>
        <w:ind w:left="1701"/>
        <w:rPr>
          <w:rFonts w:cs="Arial"/>
          <w:bCs/>
        </w:rPr>
      </w:pPr>
      <w:r>
        <w:rPr>
          <w:rFonts w:cs="Arial"/>
          <w:bCs/>
        </w:rPr>
        <w:t>It does not</w:t>
      </w:r>
      <w:r w:rsidR="00126FCA" w:rsidRPr="00522667">
        <w:rPr>
          <w:rFonts w:cs="Arial"/>
          <w:bCs/>
        </w:rPr>
        <w:t xml:space="preserve"> do anything generally unlawful with personal data.</w:t>
      </w:r>
    </w:p>
    <w:p w14:paraId="7CC98D66" w14:textId="77777777" w:rsidR="00553826" w:rsidRDefault="00126FCA" w:rsidP="00553826">
      <w:pPr>
        <w:numPr>
          <w:ilvl w:val="1"/>
          <w:numId w:val="11"/>
        </w:numPr>
        <w:spacing w:after="240"/>
        <w:rPr>
          <w:rFonts w:cs="Arial"/>
          <w:b/>
        </w:rPr>
      </w:pPr>
      <w:r w:rsidRPr="00126FCA">
        <w:rPr>
          <w:rFonts w:cs="Arial"/>
          <w:b/>
        </w:rPr>
        <w:t>Fairness</w:t>
      </w:r>
    </w:p>
    <w:p w14:paraId="5307D155" w14:textId="77777777" w:rsidR="00553826" w:rsidRDefault="00B44ABA" w:rsidP="00553826">
      <w:pPr>
        <w:numPr>
          <w:ilvl w:val="1"/>
          <w:numId w:val="11"/>
        </w:numPr>
        <w:spacing w:after="240"/>
        <w:rPr>
          <w:rFonts w:cs="Arial"/>
          <w:b/>
        </w:rPr>
      </w:pPr>
      <w:r w:rsidRPr="00553826">
        <w:rPr>
          <w:rFonts w:cs="Arial"/>
          <w:bCs/>
        </w:rPr>
        <w:t xml:space="preserve">There is a requirement for the Trust to </w:t>
      </w:r>
      <w:r w:rsidR="00126FCA" w:rsidRPr="00553826">
        <w:rPr>
          <w:rFonts w:cs="Arial"/>
          <w:bCs/>
        </w:rPr>
        <w:t xml:space="preserve">consider how </w:t>
      </w:r>
      <w:r w:rsidRPr="00553826">
        <w:rPr>
          <w:rFonts w:cs="Arial"/>
          <w:bCs/>
        </w:rPr>
        <w:t>any</w:t>
      </w:r>
      <w:r w:rsidR="00126FCA" w:rsidRPr="00553826">
        <w:rPr>
          <w:rFonts w:cs="Arial"/>
          <w:bCs/>
        </w:rPr>
        <w:t xml:space="preserve"> processing </w:t>
      </w:r>
      <w:r w:rsidRPr="00553826">
        <w:rPr>
          <w:rFonts w:cs="Arial"/>
          <w:bCs/>
        </w:rPr>
        <w:t xml:space="preserve">of personal data </w:t>
      </w:r>
      <w:r w:rsidR="00126FCA" w:rsidRPr="00553826">
        <w:rPr>
          <w:rFonts w:cs="Arial"/>
          <w:bCs/>
        </w:rPr>
        <w:t xml:space="preserve">may affect the individuals concerned and </w:t>
      </w:r>
      <w:r w:rsidR="00B27209" w:rsidRPr="00553826">
        <w:rPr>
          <w:rFonts w:cs="Arial"/>
          <w:bCs/>
        </w:rPr>
        <w:t>to</w:t>
      </w:r>
      <w:r w:rsidR="00126FCA" w:rsidRPr="00553826">
        <w:rPr>
          <w:rFonts w:cs="Arial"/>
          <w:bCs/>
        </w:rPr>
        <w:t xml:space="preserve"> justify any adverse impact</w:t>
      </w:r>
      <w:r w:rsidR="00B27209" w:rsidRPr="00553826">
        <w:rPr>
          <w:rFonts w:cs="Arial"/>
          <w:bCs/>
        </w:rPr>
        <w:t xml:space="preserve"> there may be</w:t>
      </w:r>
      <w:r w:rsidR="00126FCA" w:rsidRPr="00553826">
        <w:rPr>
          <w:rFonts w:cs="Arial"/>
          <w:bCs/>
        </w:rPr>
        <w:t>.</w:t>
      </w:r>
    </w:p>
    <w:p w14:paraId="065971A0" w14:textId="77777777" w:rsidR="00553826" w:rsidRDefault="00B27209" w:rsidP="00553826">
      <w:pPr>
        <w:numPr>
          <w:ilvl w:val="1"/>
          <w:numId w:val="11"/>
        </w:numPr>
        <w:spacing w:after="240"/>
        <w:rPr>
          <w:rFonts w:cs="Arial"/>
          <w:b/>
        </w:rPr>
      </w:pPr>
      <w:r w:rsidRPr="00553826">
        <w:rPr>
          <w:rFonts w:cs="Arial"/>
          <w:bCs/>
        </w:rPr>
        <w:t xml:space="preserve">The Trust will </w:t>
      </w:r>
      <w:r w:rsidR="00126FCA" w:rsidRPr="00553826">
        <w:rPr>
          <w:rFonts w:cs="Arial"/>
          <w:bCs/>
        </w:rPr>
        <w:t xml:space="preserve">only handle people’s data in ways </w:t>
      </w:r>
      <w:r w:rsidR="00204A47" w:rsidRPr="00553826">
        <w:rPr>
          <w:rFonts w:cs="Arial"/>
          <w:bCs/>
        </w:rPr>
        <w:t xml:space="preserve">that individuals </w:t>
      </w:r>
      <w:r w:rsidR="00126FCA" w:rsidRPr="00553826">
        <w:rPr>
          <w:rFonts w:cs="Arial"/>
          <w:bCs/>
        </w:rPr>
        <w:t xml:space="preserve">would reasonably </w:t>
      </w:r>
      <w:r w:rsidR="00601CE7" w:rsidRPr="00553826">
        <w:rPr>
          <w:rFonts w:cs="Arial"/>
          <w:bCs/>
        </w:rPr>
        <w:t>expect or</w:t>
      </w:r>
      <w:r w:rsidR="00126FCA" w:rsidRPr="00553826">
        <w:rPr>
          <w:rFonts w:cs="Arial"/>
          <w:bCs/>
        </w:rPr>
        <w:t xml:space="preserve"> </w:t>
      </w:r>
      <w:r w:rsidRPr="00553826">
        <w:rPr>
          <w:rFonts w:cs="Arial"/>
          <w:bCs/>
        </w:rPr>
        <w:t xml:space="preserve">will </w:t>
      </w:r>
      <w:r w:rsidR="00126FCA" w:rsidRPr="00553826">
        <w:rPr>
          <w:rFonts w:cs="Arial"/>
          <w:bCs/>
        </w:rPr>
        <w:t>explain why any unexpected processing is justified.</w:t>
      </w:r>
    </w:p>
    <w:p w14:paraId="1616D7C0" w14:textId="1D9DCE60" w:rsidR="00601CE7" w:rsidRPr="00553826" w:rsidRDefault="00B27209" w:rsidP="00BE78DB">
      <w:pPr>
        <w:numPr>
          <w:ilvl w:val="1"/>
          <w:numId w:val="11"/>
        </w:numPr>
        <w:spacing w:after="240"/>
        <w:rPr>
          <w:rFonts w:cs="Arial"/>
          <w:bCs/>
        </w:rPr>
      </w:pPr>
      <w:r w:rsidRPr="00553826">
        <w:rPr>
          <w:rFonts w:cs="Arial"/>
          <w:bCs/>
        </w:rPr>
        <w:t xml:space="preserve">The Trust will </w:t>
      </w:r>
      <w:r w:rsidR="00126FCA" w:rsidRPr="00553826">
        <w:rPr>
          <w:rFonts w:cs="Arial"/>
          <w:bCs/>
        </w:rPr>
        <w:t xml:space="preserve">not deceive or mislead people when </w:t>
      </w:r>
      <w:r w:rsidRPr="00553826">
        <w:rPr>
          <w:rFonts w:cs="Arial"/>
          <w:bCs/>
        </w:rPr>
        <w:t>it</w:t>
      </w:r>
      <w:r w:rsidR="00126FCA" w:rsidRPr="00553826">
        <w:rPr>
          <w:rFonts w:cs="Arial"/>
          <w:bCs/>
        </w:rPr>
        <w:t xml:space="preserve"> collect</w:t>
      </w:r>
      <w:r w:rsidRPr="00553826">
        <w:rPr>
          <w:rFonts w:cs="Arial"/>
          <w:bCs/>
        </w:rPr>
        <w:t>s</w:t>
      </w:r>
      <w:r w:rsidR="00126FCA" w:rsidRPr="00553826">
        <w:rPr>
          <w:rFonts w:cs="Arial"/>
          <w:bCs/>
        </w:rPr>
        <w:t xml:space="preserve"> their personal data.</w:t>
      </w:r>
    </w:p>
    <w:p w14:paraId="49347BDE" w14:textId="77777777" w:rsidR="00B323A3" w:rsidRDefault="00126FCA" w:rsidP="00B323A3">
      <w:pPr>
        <w:numPr>
          <w:ilvl w:val="1"/>
          <w:numId w:val="11"/>
        </w:numPr>
        <w:spacing w:after="240"/>
        <w:rPr>
          <w:rFonts w:cs="Arial"/>
          <w:b/>
        </w:rPr>
      </w:pPr>
      <w:r w:rsidRPr="00126FCA">
        <w:rPr>
          <w:rFonts w:cs="Arial"/>
          <w:b/>
        </w:rPr>
        <w:t>Transparency</w:t>
      </w:r>
    </w:p>
    <w:p w14:paraId="6FD96AE7" w14:textId="77777777" w:rsidR="00B323A3" w:rsidRDefault="005B1CD3" w:rsidP="00B323A3">
      <w:pPr>
        <w:numPr>
          <w:ilvl w:val="1"/>
          <w:numId w:val="11"/>
        </w:numPr>
        <w:spacing w:after="240"/>
        <w:rPr>
          <w:rFonts w:cs="Arial"/>
          <w:b/>
        </w:rPr>
      </w:pPr>
      <w:r w:rsidRPr="00B323A3">
        <w:rPr>
          <w:rFonts w:cs="Arial"/>
        </w:rPr>
        <w:t>There is a requirement to</w:t>
      </w:r>
      <w:r w:rsidR="00492F1E" w:rsidRPr="00B323A3">
        <w:rPr>
          <w:rFonts w:cs="Arial"/>
          <w:bCs/>
        </w:rPr>
        <w:t xml:space="preserve"> be open and honest, and to </w:t>
      </w:r>
      <w:r w:rsidR="00D14263" w:rsidRPr="00B323A3">
        <w:rPr>
          <w:rFonts w:cs="Arial"/>
        </w:rPr>
        <w:t xml:space="preserve">inform </w:t>
      </w:r>
      <w:r w:rsidRPr="00B323A3">
        <w:rPr>
          <w:rFonts w:cs="Arial"/>
        </w:rPr>
        <w:t xml:space="preserve">the </w:t>
      </w:r>
      <w:proofErr w:type="gramStart"/>
      <w:r w:rsidRPr="00B323A3">
        <w:rPr>
          <w:rFonts w:cs="Arial"/>
        </w:rPr>
        <w:t>general public</w:t>
      </w:r>
      <w:proofErr w:type="gramEnd"/>
      <w:r w:rsidRPr="00B323A3">
        <w:rPr>
          <w:rFonts w:cs="Arial"/>
        </w:rPr>
        <w:t xml:space="preserve">, those who use </w:t>
      </w:r>
      <w:r w:rsidR="000E6FF8" w:rsidRPr="00B323A3">
        <w:rPr>
          <w:rFonts w:cs="Arial"/>
        </w:rPr>
        <w:t xml:space="preserve">NHS </w:t>
      </w:r>
      <w:r w:rsidRPr="00B323A3">
        <w:rPr>
          <w:rFonts w:cs="Arial"/>
        </w:rPr>
        <w:t>services</w:t>
      </w:r>
      <w:r w:rsidR="00560B66" w:rsidRPr="00B323A3">
        <w:rPr>
          <w:rFonts w:cs="Arial"/>
        </w:rPr>
        <w:t xml:space="preserve">, </w:t>
      </w:r>
      <w:r w:rsidR="008348EB" w:rsidRPr="00B323A3">
        <w:rPr>
          <w:rFonts w:cs="Arial"/>
        </w:rPr>
        <w:t xml:space="preserve">staff members </w:t>
      </w:r>
      <w:r w:rsidR="00560B66" w:rsidRPr="00B323A3">
        <w:rPr>
          <w:rFonts w:cs="Arial"/>
        </w:rPr>
        <w:t xml:space="preserve">and any other individual whose personal data is processed </w:t>
      </w:r>
      <w:r w:rsidR="008348EB" w:rsidRPr="00B323A3">
        <w:rPr>
          <w:rFonts w:cs="Arial"/>
        </w:rPr>
        <w:t>of the reasons</w:t>
      </w:r>
      <w:r w:rsidRPr="00B323A3">
        <w:rPr>
          <w:rFonts w:cs="Arial"/>
        </w:rPr>
        <w:t xml:space="preserve"> why the </w:t>
      </w:r>
      <w:r w:rsidR="00492F1E" w:rsidRPr="00B323A3">
        <w:rPr>
          <w:rFonts w:cs="Arial"/>
        </w:rPr>
        <w:t>Trust</w:t>
      </w:r>
      <w:r w:rsidRPr="00B323A3">
        <w:rPr>
          <w:rFonts w:cs="Arial"/>
        </w:rPr>
        <w:t xml:space="preserve"> needs information about them, how this is used and to whom it may be disclosed. </w:t>
      </w:r>
      <w:r w:rsidR="002468F6" w:rsidRPr="00B323A3">
        <w:rPr>
          <w:rFonts w:cs="Arial"/>
        </w:rPr>
        <w:t xml:space="preserve"> </w:t>
      </w:r>
      <w:r w:rsidR="008F27B9" w:rsidRPr="00B323A3">
        <w:rPr>
          <w:rFonts w:cs="Arial"/>
        </w:rPr>
        <w:t>This must be provided in a way that is easily accessible and easy to understand</w:t>
      </w:r>
      <w:r w:rsidR="00EE7D05" w:rsidRPr="00B323A3">
        <w:rPr>
          <w:rFonts w:cs="Arial"/>
        </w:rPr>
        <w:t xml:space="preserve"> using </w:t>
      </w:r>
      <w:r w:rsidR="008F27B9" w:rsidRPr="00B323A3">
        <w:rPr>
          <w:rFonts w:cs="Arial"/>
        </w:rPr>
        <w:t xml:space="preserve">clear and plain language. </w:t>
      </w:r>
    </w:p>
    <w:p w14:paraId="3ECE9227" w14:textId="5E86AE4B" w:rsidR="00370587" w:rsidRPr="00B323A3" w:rsidRDefault="00F54BB0" w:rsidP="00B323A3">
      <w:pPr>
        <w:numPr>
          <w:ilvl w:val="1"/>
          <w:numId w:val="11"/>
        </w:numPr>
        <w:spacing w:after="240"/>
        <w:rPr>
          <w:rFonts w:cs="Arial"/>
          <w:b/>
        </w:rPr>
      </w:pPr>
      <w:r w:rsidRPr="00B323A3">
        <w:rPr>
          <w:rFonts w:cs="Arial"/>
        </w:rPr>
        <w:t xml:space="preserve">The Trust will </w:t>
      </w:r>
      <w:r w:rsidR="00CC5EA3" w:rsidRPr="00B323A3">
        <w:rPr>
          <w:rFonts w:cs="Arial"/>
        </w:rPr>
        <w:t xml:space="preserve">adopt a layered approach to transparency using a variety of communication methods to </w:t>
      </w:r>
      <w:r w:rsidR="000D24D6" w:rsidRPr="00B323A3">
        <w:rPr>
          <w:rFonts w:cs="Arial"/>
        </w:rPr>
        <w:t xml:space="preserve">ensure its processing of personal data is transparent.  </w:t>
      </w:r>
      <w:r w:rsidR="00370587" w:rsidRPr="00B323A3">
        <w:rPr>
          <w:rFonts w:cs="Arial"/>
        </w:rPr>
        <w:t>This will include:</w:t>
      </w:r>
    </w:p>
    <w:p w14:paraId="4F9490A3" w14:textId="7E892E81" w:rsidR="00370587" w:rsidRDefault="002B4AA5" w:rsidP="009F46E6">
      <w:pPr>
        <w:numPr>
          <w:ilvl w:val="4"/>
          <w:numId w:val="29"/>
        </w:numPr>
        <w:spacing w:after="240"/>
        <w:ind w:left="1701"/>
        <w:jc w:val="both"/>
        <w:rPr>
          <w:rFonts w:cs="Arial"/>
        </w:rPr>
      </w:pPr>
      <w:r>
        <w:rPr>
          <w:rFonts w:cs="Arial"/>
        </w:rPr>
        <w:t>A</w:t>
      </w:r>
      <w:r w:rsidR="00CC5EA3" w:rsidRPr="00370587">
        <w:rPr>
          <w:rFonts w:cs="Arial"/>
        </w:rPr>
        <w:t xml:space="preserve"> Privacy Notice </w:t>
      </w:r>
      <w:r w:rsidR="00D50F71">
        <w:rPr>
          <w:rFonts w:cs="Arial"/>
        </w:rPr>
        <w:t xml:space="preserve">published </w:t>
      </w:r>
      <w:r w:rsidR="00CC5EA3" w:rsidRPr="00370587">
        <w:rPr>
          <w:rFonts w:cs="Arial"/>
        </w:rPr>
        <w:t xml:space="preserve">on the Trust </w:t>
      </w:r>
      <w:proofErr w:type="gramStart"/>
      <w:r w:rsidR="00CC5EA3" w:rsidRPr="00370587">
        <w:rPr>
          <w:rFonts w:cs="Arial"/>
        </w:rPr>
        <w:t>website</w:t>
      </w:r>
      <w:r w:rsidR="00F148A9">
        <w:rPr>
          <w:rFonts w:cs="Arial"/>
        </w:rPr>
        <w:t>;</w:t>
      </w:r>
      <w:proofErr w:type="gramEnd"/>
    </w:p>
    <w:p w14:paraId="21B19C75" w14:textId="6401B01E" w:rsidR="00D50F71" w:rsidRDefault="00F148A9" w:rsidP="009F46E6">
      <w:pPr>
        <w:numPr>
          <w:ilvl w:val="4"/>
          <w:numId w:val="29"/>
        </w:numPr>
        <w:spacing w:after="240"/>
        <w:ind w:left="1701"/>
        <w:jc w:val="both"/>
        <w:rPr>
          <w:rFonts w:cs="Arial"/>
        </w:rPr>
      </w:pPr>
      <w:r>
        <w:rPr>
          <w:rFonts w:cs="Arial"/>
        </w:rPr>
        <w:t xml:space="preserve">Information published on the Trust </w:t>
      </w:r>
      <w:proofErr w:type="gramStart"/>
      <w:r>
        <w:rPr>
          <w:rFonts w:cs="Arial"/>
        </w:rPr>
        <w:t>website</w:t>
      </w:r>
      <w:r w:rsidR="00BF36B7">
        <w:rPr>
          <w:rFonts w:cs="Arial"/>
        </w:rPr>
        <w:t>;</w:t>
      </w:r>
      <w:proofErr w:type="gramEnd"/>
    </w:p>
    <w:p w14:paraId="57E363F3" w14:textId="2FCE4E82" w:rsidR="00F148A9" w:rsidRDefault="00D50F71" w:rsidP="009F46E6">
      <w:pPr>
        <w:numPr>
          <w:ilvl w:val="4"/>
          <w:numId w:val="29"/>
        </w:numPr>
        <w:spacing w:after="240"/>
        <w:ind w:left="1701"/>
        <w:jc w:val="both"/>
        <w:rPr>
          <w:rFonts w:cs="Arial"/>
        </w:rPr>
      </w:pPr>
      <w:r>
        <w:rPr>
          <w:rFonts w:cs="Arial"/>
        </w:rPr>
        <w:t xml:space="preserve">Information published </w:t>
      </w:r>
      <w:r w:rsidR="00566CA7">
        <w:rPr>
          <w:rFonts w:cs="Arial"/>
        </w:rPr>
        <w:t xml:space="preserve">on the Trust </w:t>
      </w:r>
      <w:proofErr w:type="gramStart"/>
      <w:r w:rsidR="00566CA7">
        <w:rPr>
          <w:rFonts w:cs="Arial"/>
        </w:rPr>
        <w:t>intranet</w:t>
      </w:r>
      <w:r w:rsidR="00F148A9">
        <w:rPr>
          <w:rFonts w:cs="Arial"/>
        </w:rPr>
        <w:t>;</w:t>
      </w:r>
      <w:proofErr w:type="gramEnd"/>
    </w:p>
    <w:p w14:paraId="0D6FC48B" w14:textId="15915521" w:rsidR="00063DC7" w:rsidRDefault="009343F3" w:rsidP="009F46E6">
      <w:pPr>
        <w:numPr>
          <w:ilvl w:val="4"/>
          <w:numId w:val="29"/>
        </w:numPr>
        <w:spacing w:after="240"/>
        <w:ind w:left="1701"/>
        <w:jc w:val="both"/>
        <w:rPr>
          <w:rFonts w:cs="Arial"/>
        </w:rPr>
      </w:pPr>
      <w:r>
        <w:rPr>
          <w:rFonts w:cs="Arial"/>
        </w:rPr>
        <w:t>I</w:t>
      </w:r>
      <w:r w:rsidR="005B1CD3" w:rsidRPr="00370587">
        <w:rPr>
          <w:rFonts w:cs="Arial"/>
        </w:rPr>
        <w:t>nformatio</w:t>
      </w:r>
      <w:r>
        <w:rPr>
          <w:rFonts w:cs="Arial"/>
        </w:rPr>
        <w:t xml:space="preserve">n </w:t>
      </w:r>
      <w:r w:rsidR="005B1CD3" w:rsidRPr="00370587">
        <w:rPr>
          <w:rFonts w:cs="Arial"/>
        </w:rPr>
        <w:t>posters and leaflets</w:t>
      </w:r>
      <w:r w:rsidR="00F148A9">
        <w:rPr>
          <w:rFonts w:cs="Arial"/>
        </w:rPr>
        <w:t xml:space="preserve"> </w:t>
      </w:r>
      <w:r w:rsidR="00566CA7">
        <w:rPr>
          <w:rFonts w:cs="Arial"/>
        </w:rPr>
        <w:t xml:space="preserve">provided or </w:t>
      </w:r>
      <w:r w:rsidR="00F148A9">
        <w:rPr>
          <w:rFonts w:cs="Arial"/>
        </w:rPr>
        <w:t xml:space="preserve">available </w:t>
      </w:r>
      <w:r w:rsidR="00566CA7">
        <w:rPr>
          <w:rFonts w:cs="Arial"/>
        </w:rPr>
        <w:t xml:space="preserve">in hard copy and on the Trust website and </w:t>
      </w:r>
      <w:proofErr w:type="gramStart"/>
      <w:r w:rsidR="00566CA7">
        <w:rPr>
          <w:rFonts w:cs="Arial"/>
        </w:rPr>
        <w:t>intranet</w:t>
      </w:r>
      <w:r w:rsidR="00063DC7">
        <w:rPr>
          <w:rFonts w:cs="Arial"/>
        </w:rPr>
        <w:t>;</w:t>
      </w:r>
      <w:proofErr w:type="gramEnd"/>
    </w:p>
    <w:p w14:paraId="31137738" w14:textId="2DD97CAF" w:rsidR="00852541" w:rsidRPr="00370587" w:rsidRDefault="00063DC7" w:rsidP="009F46E6">
      <w:pPr>
        <w:numPr>
          <w:ilvl w:val="4"/>
          <w:numId w:val="29"/>
        </w:numPr>
        <w:spacing w:after="240"/>
        <w:ind w:left="1701"/>
        <w:jc w:val="both"/>
        <w:rPr>
          <w:rFonts w:cs="Arial"/>
        </w:rPr>
      </w:pPr>
      <w:r>
        <w:rPr>
          <w:rFonts w:cs="Arial"/>
        </w:rPr>
        <w:t>V</w:t>
      </w:r>
      <w:r w:rsidR="005B1CD3" w:rsidRPr="00370587">
        <w:rPr>
          <w:rFonts w:cs="Arial"/>
        </w:rPr>
        <w:t>erbal</w:t>
      </w:r>
      <w:r>
        <w:rPr>
          <w:rFonts w:cs="Arial"/>
        </w:rPr>
        <w:t xml:space="preserve"> information</w:t>
      </w:r>
      <w:r w:rsidR="00566CA7">
        <w:rPr>
          <w:rFonts w:cs="Arial"/>
        </w:rPr>
        <w:t xml:space="preserve"> provided directly to individuals by relevant staff </w:t>
      </w:r>
      <w:proofErr w:type="gramStart"/>
      <w:r w:rsidR="00566CA7">
        <w:rPr>
          <w:rFonts w:cs="Arial"/>
        </w:rPr>
        <w:t>members</w:t>
      </w:r>
      <w:r>
        <w:rPr>
          <w:rFonts w:cs="Arial"/>
        </w:rPr>
        <w:t>;</w:t>
      </w:r>
      <w:proofErr w:type="gramEnd"/>
      <w:r w:rsidR="002E174D" w:rsidRPr="00370587">
        <w:rPr>
          <w:rFonts w:cs="Arial"/>
        </w:rPr>
        <w:t xml:space="preserve"> </w:t>
      </w:r>
    </w:p>
    <w:p w14:paraId="316D3AA6" w14:textId="4C56A9DA" w:rsidR="00355C29" w:rsidRDefault="002669D1" w:rsidP="009F46E6">
      <w:pPr>
        <w:pStyle w:val="ListParagraph"/>
        <w:numPr>
          <w:ilvl w:val="4"/>
          <w:numId w:val="29"/>
        </w:numPr>
        <w:ind w:left="1701"/>
        <w:rPr>
          <w:rFonts w:cs="Arial"/>
        </w:rPr>
      </w:pPr>
      <w:r>
        <w:rPr>
          <w:rFonts w:cs="Arial"/>
        </w:rPr>
        <w:t xml:space="preserve">Direct communications via letter, email </w:t>
      </w:r>
      <w:r w:rsidR="002B4AA5">
        <w:rPr>
          <w:rFonts w:cs="Arial"/>
        </w:rPr>
        <w:t>and SMS messages.</w:t>
      </w:r>
    </w:p>
    <w:p w14:paraId="6E8175EE" w14:textId="46891274" w:rsidR="00852541" w:rsidRPr="00FC432A" w:rsidRDefault="00852541" w:rsidP="00476554">
      <w:pPr>
        <w:rPr>
          <w:rFonts w:cs="Arial"/>
        </w:rPr>
      </w:pPr>
    </w:p>
    <w:p w14:paraId="49BF253F" w14:textId="77777777" w:rsidR="00B323A3" w:rsidRDefault="005B1CD3" w:rsidP="00B323A3">
      <w:pPr>
        <w:pStyle w:val="ListParagraph"/>
        <w:numPr>
          <w:ilvl w:val="1"/>
          <w:numId w:val="11"/>
        </w:numPr>
        <w:rPr>
          <w:rFonts w:cs="Arial"/>
          <w:i/>
          <w:iCs/>
        </w:rPr>
      </w:pPr>
      <w:r w:rsidRPr="00142711">
        <w:rPr>
          <w:rFonts w:cs="Arial"/>
          <w:b/>
        </w:rPr>
        <w:t>Principle 2</w:t>
      </w:r>
      <w:r w:rsidRPr="00F057B8">
        <w:rPr>
          <w:rFonts w:cs="Arial"/>
          <w:b/>
        </w:rPr>
        <w:t xml:space="preserve">: </w:t>
      </w:r>
      <w:r w:rsidR="00142711" w:rsidRPr="00F057B8">
        <w:rPr>
          <w:rFonts w:cs="Arial"/>
          <w:b/>
        </w:rPr>
        <w:t>‘Purpose Limitation’</w:t>
      </w:r>
      <w:r w:rsidR="00F057B8" w:rsidRPr="00F057B8">
        <w:rPr>
          <w:rFonts w:cs="Arial"/>
          <w:b/>
        </w:rPr>
        <w:t>.</w:t>
      </w:r>
      <w:r w:rsidR="00F057B8">
        <w:rPr>
          <w:rFonts w:cs="Arial"/>
        </w:rPr>
        <w:t xml:space="preserve"> </w:t>
      </w:r>
      <w:r w:rsidR="00F057B8" w:rsidRPr="00B40081">
        <w:rPr>
          <w:rFonts w:cs="Arial"/>
          <w:i/>
          <w:iCs/>
        </w:rPr>
        <w:t>Personal data shall be</w:t>
      </w:r>
      <w:r w:rsidR="00142711" w:rsidRPr="00B40081">
        <w:rPr>
          <w:rFonts w:cs="Arial"/>
          <w:i/>
          <w:iCs/>
        </w:rPr>
        <w:t xml:space="preserv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00142711" w:rsidRPr="00B40081">
        <w:rPr>
          <w:rFonts w:cs="Arial"/>
          <w:i/>
          <w:iCs/>
        </w:rPr>
        <w:t>be considered to be</w:t>
      </w:r>
      <w:proofErr w:type="gramEnd"/>
      <w:r w:rsidR="00142711" w:rsidRPr="00B40081">
        <w:rPr>
          <w:rFonts w:cs="Arial"/>
          <w:i/>
          <w:iCs/>
        </w:rPr>
        <w:t xml:space="preserve"> incompatible with the initial purposes</w:t>
      </w:r>
      <w:r w:rsidR="00F057B8" w:rsidRPr="00B40081">
        <w:rPr>
          <w:rFonts w:cs="Arial"/>
          <w:i/>
          <w:iCs/>
        </w:rPr>
        <w:t>.</w:t>
      </w:r>
    </w:p>
    <w:p w14:paraId="624678DE" w14:textId="77777777" w:rsidR="00B323A3" w:rsidRDefault="00B323A3" w:rsidP="00B323A3">
      <w:pPr>
        <w:pStyle w:val="ListParagraph"/>
        <w:ind w:left="1162"/>
        <w:rPr>
          <w:rFonts w:cs="Arial"/>
          <w:i/>
          <w:iCs/>
        </w:rPr>
      </w:pPr>
    </w:p>
    <w:p w14:paraId="7CD308A9" w14:textId="67552D7E" w:rsidR="003257B8" w:rsidRPr="00B323A3" w:rsidRDefault="003257B8" w:rsidP="00B323A3">
      <w:pPr>
        <w:pStyle w:val="ListParagraph"/>
        <w:numPr>
          <w:ilvl w:val="1"/>
          <w:numId w:val="11"/>
        </w:numPr>
        <w:rPr>
          <w:rFonts w:cs="Arial"/>
          <w:i/>
          <w:iCs/>
        </w:rPr>
      </w:pPr>
      <w:r w:rsidRPr="00B323A3">
        <w:rPr>
          <w:rFonts w:cs="Arial"/>
        </w:rPr>
        <w:t>To ensure the Trust complies with the ‘purpose limitation’ principle it will:</w:t>
      </w:r>
    </w:p>
    <w:p w14:paraId="47003202" w14:textId="77777777" w:rsidR="003257B8" w:rsidRPr="00B424E4" w:rsidRDefault="003257B8" w:rsidP="003257B8">
      <w:pPr>
        <w:pStyle w:val="ListParagraph"/>
        <w:rPr>
          <w:rFonts w:cs="Arial"/>
        </w:rPr>
      </w:pPr>
    </w:p>
    <w:p w14:paraId="6D8B3EE1" w14:textId="77777777" w:rsidR="003257B8" w:rsidRDefault="003257B8" w:rsidP="009F46E6">
      <w:pPr>
        <w:pStyle w:val="ListParagraph"/>
        <w:numPr>
          <w:ilvl w:val="3"/>
          <w:numId w:val="31"/>
        </w:numPr>
        <w:ind w:left="1701"/>
        <w:rPr>
          <w:rFonts w:cs="Arial"/>
        </w:rPr>
      </w:pPr>
      <w:r>
        <w:rPr>
          <w:rFonts w:cs="Arial"/>
        </w:rPr>
        <w:t>B</w:t>
      </w:r>
      <w:r w:rsidRPr="00B424E4">
        <w:rPr>
          <w:rFonts w:cs="Arial"/>
        </w:rPr>
        <w:t>e clear from the outset why personal data</w:t>
      </w:r>
      <w:r>
        <w:rPr>
          <w:rFonts w:cs="Arial"/>
        </w:rPr>
        <w:t xml:space="preserve"> is being collected</w:t>
      </w:r>
      <w:r w:rsidRPr="00B424E4">
        <w:rPr>
          <w:rFonts w:cs="Arial"/>
        </w:rPr>
        <w:t xml:space="preserve"> and what </w:t>
      </w:r>
      <w:r>
        <w:rPr>
          <w:rFonts w:cs="Arial"/>
        </w:rPr>
        <w:t>it</w:t>
      </w:r>
      <w:r w:rsidRPr="00B424E4">
        <w:rPr>
          <w:rFonts w:cs="Arial"/>
        </w:rPr>
        <w:t xml:space="preserve"> intend</w:t>
      </w:r>
      <w:r>
        <w:rPr>
          <w:rFonts w:cs="Arial"/>
        </w:rPr>
        <w:t>s</w:t>
      </w:r>
      <w:r w:rsidRPr="00B424E4">
        <w:rPr>
          <w:rFonts w:cs="Arial"/>
        </w:rPr>
        <w:t xml:space="preserve"> to do with </w:t>
      </w:r>
      <w:proofErr w:type="gramStart"/>
      <w:r w:rsidRPr="00B424E4">
        <w:rPr>
          <w:rFonts w:cs="Arial"/>
        </w:rPr>
        <w:t>it;</w:t>
      </w:r>
      <w:proofErr w:type="gramEnd"/>
    </w:p>
    <w:p w14:paraId="11F83ADF" w14:textId="77777777" w:rsidR="003257B8" w:rsidRPr="00B424E4" w:rsidRDefault="003257B8" w:rsidP="009F46E6">
      <w:pPr>
        <w:pStyle w:val="ListParagraph"/>
        <w:ind w:left="1701"/>
        <w:rPr>
          <w:rFonts w:cs="Arial"/>
        </w:rPr>
      </w:pPr>
    </w:p>
    <w:p w14:paraId="7AF73DAC" w14:textId="77777777" w:rsidR="003257B8" w:rsidRDefault="003257B8" w:rsidP="009F46E6">
      <w:pPr>
        <w:pStyle w:val="ListParagraph"/>
        <w:numPr>
          <w:ilvl w:val="3"/>
          <w:numId w:val="31"/>
        </w:numPr>
        <w:ind w:left="1701"/>
        <w:rPr>
          <w:rFonts w:cs="Arial"/>
        </w:rPr>
      </w:pPr>
      <w:r>
        <w:rPr>
          <w:rFonts w:cs="Arial"/>
        </w:rPr>
        <w:t>C</w:t>
      </w:r>
      <w:r w:rsidRPr="00B424E4">
        <w:rPr>
          <w:rFonts w:cs="Arial"/>
        </w:rPr>
        <w:t xml:space="preserve">omply with </w:t>
      </w:r>
      <w:r>
        <w:rPr>
          <w:rFonts w:cs="Arial"/>
        </w:rPr>
        <w:t>its</w:t>
      </w:r>
      <w:r w:rsidRPr="00B424E4">
        <w:rPr>
          <w:rFonts w:cs="Arial"/>
        </w:rPr>
        <w:t xml:space="preserve"> documentation obligations to specify </w:t>
      </w:r>
      <w:r>
        <w:rPr>
          <w:rFonts w:cs="Arial"/>
        </w:rPr>
        <w:t>its</w:t>
      </w:r>
      <w:r w:rsidRPr="00B424E4">
        <w:rPr>
          <w:rFonts w:cs="Arial"/>
        </w:rPr>
        <w:t xml:space="preserve"> purposes</w:t>
      </w:r>
      <w:r>
        <w:rPr>
          <w:rFonts w:cs="Arial"/>
        </w:rPr>
        <w:t xml:space="preserve"> for </w:t>
      </w:r>
      <w:proofErr w:type="gramStart"/>
      <w:r>
        <w:rPr>
          <w:rFonts w:cs="Arial"/>
        </w:rPr>
        <w:t>processing</w:t>
      </w:r>
      <w:r w:rsidRPr="00B424E4">
        <w:rPr>
          <w:rFonts w:cs="Arial"/>
        </w:rPr>
        <w:t>;</w:t>
      </w:r>
      <w:proofErr w:type="gramEnd"/>
    </w:p>
    <w:p w14:paraId="7A05E651" w14:textId="77777777" w:rsidR="003257B8" w:rsidRPr="008134E4" w:rsidRDefault="003257B8" w:rsidP="009F46E6">
      <w:pPr>
        <w:pStyle w:val="ListParagraph"/>
        <w:ind w:left="1701"/>
        <w:rPr>
          <w:rFonts w:cs="Arial"/>
        </w:rPr>
      </w:pPr>
    </w:p>
    <w:p w14:paraId="4F61B4ED" w14:textId="77777777" w:rsidR="003257B8" w:rsidRDefault="003257B8" w:rsidP="009F46E6">
      <w:pPr>
        <w:pStyle w:val="ListParagraph"/>
        <w:numPr>
          <w:ilvl w:val="3"/>
          <w:numId w:val="31"/>
        </w:numPr>
        <w:ind w:left="1701"/>
        <w:rPr>
          <w:rFonts w:cs="Arial"/>
        </w:rPr>
      </w:pPr>
      <w:r>
        <w:rPr>
          <w:rFonts w:cs="Arial"/>
        </w:rPr>
        <w:t>C</w:t>
      </w:r>
      <w:r w:rsidRPr="00B424E4">
        <w:rPr>
          <w:rFonts w:cs="Arial"/>
        </w:rPr>
        <w:t xml:space="preserve">omply with </w:t>
      </w:r>
      <w:r>
        <w:rPr>
          <w:rFonts w:cs="Arial"/>
        </w:rPr>
        <w:t>its</w:t>
      </w:r>
      <w:r w:rsidRPr="00B424E4">
        <w:rPr>
          <w:rFonts w:cs="Arial"/>
        </w:rPr>
        <w:t xml:space="preserve"> transparency obligations to inform individuals about </w:t>
      </w:r>
      <w:r>
        <w:rPr>
          <w:rFonts w:cs="Arial"/>
        </w:rPr>
        <w:t>its</w:t>
      </w:r>
      <w:r w:rsidRPr="00B424E4">
        <w:rPr>
          <w:rFonts w:cs="Arial"/>
        </w:rPr>
        <w:t xml:space="preserve"> purposes</w:t>
      </w:r>
      <w:r>
        <w:rPr>
          <w:rFonts w:cs="Arial"/>
        </w:rPr>
        <w:t xml:space="preserve"> for processing</w:t>
      </w:r>
      <w:r w:rsidRPr="00B424E4">
        <w:rPr>
          <w:rFonts w:cs="Arial"/>
        </w:rPr>
        <w:t>; and</w:t>
      </w:r>
    </w:p>
    <w:p w14:paraId="7266B98B" w14:textId="77777777" w:rsidR="003257B8" w:rsidRPr="008134E4" w:rsidRDefault="003257B8" w:rsidP="009F46E6">
      <w:pPr>
        <w:pStyle w:val="ListParagraph"/>
        <w:ind w:left="1701"/>
        <w:rPr>
          <w:rFonts w:cs="Arial"/>
        </w:rPr>
      </w:pPr>
    </w:p>
    <w:p w14:paraId="1F34A9AE" w14:textId="77777777" w:rsidR="00B323A3" w:rsidRDefault="003257B8" w:rsidP="00B323A3">
      <w:pPr>
        <w:pStyle w:val="ListParagraph"/>
        <w:numPr>
          <w:ilvl w:val="3"/>
          <w:numId w:val="31"/>
        </w:numPr>
        <w:ind w:left="1701"/>
        <w:rPr>
          <w:rFonts w:cs="Arial"/>
        </w:rPr>
      </w:pPr>
      <w:r>
        <w:rPr>
          <w:rFonts w:cs="Arial"/>
        </w:rPr>
        <w:t>E</w:t>
      </w:r>
      <w:r w:rsidRPr="00B424E4">
        <w:rPr>
          <w:rFonts w:cs="Arial"/>
        </w:rPr>
        <w:t xml:space="preserve">nsure that if </w:t>
      </w:r>
      <w:r>
        <w:rPr>
          <w:rFonts w:cs="Arial"/>
        </w:rPr>
        <w:t>it</w:t>
      </w:r>
      <w:r w:rsidRPr="00B424E4">
        <w:rPr>
          <w:rFonts w:cs="Arial"/>
        </w:rPr>
        <w:t xml:space="preserve"> plan</w:t>
      </w:r>
      <w:r>
        <w:rPr>
          <w:rFonts w:cs="Arial"/>
        </w:rPr>
        <w:t>s</w:t>
      </w:r>
      <w:r w:rsidRPr="00B424E4">
        <w:rPr>
          <w:rFonts w:cs="Arial"/>
        </w:rPr>
        <w:t xml:space="preserve"> to use or disclose personal data for any purpose that is additional to or different from the originally specified purpose, the new use is fair, </w:t>
      </w:r>
      <w:r w:rsidR="00131080" w:rsidRPr="00B424E4">
        <w:rPr>
          <w:rFonts w:cs="Arial"/>
        </w:rPr>
        <w:t>lawful,</w:t>
      </w:r>
      <w:r w:rsidRPr="00B424E4">
        <w:rPr>
          <w:rFonts w:cs="Arial"/>
        </w:rPr>
        <w:t xml:space="preserve"> and transparent.</w:t>
      </w:r>
    </w:p>
    <w:p w14:paraId="425E2E4F" w14:textId="77777777" w:rsidR="00B323A3" w:rsidRPr="00B323A3" w:rsidRDefault="00B323A3" w:rsidP="00B323A3">
      <w:pPr>
        <w:pStyle w:val="ListParagraph"/>
        <w:rPr>
          <w:rFonts w:cs="Arial"/>
        </w:rPr>
      </w:pPr>
    </w:p>
    <w:p w14:paraId="7DDDAD9D" w14:textId="77777777" w:rsidR="00B323A3" w:rsidRDefault="0092541E" w:rsidP="00B323A3">
      <w:pPr>
        <w:pStyle w:val="ListParagraph"/>
        <w:numPr>
          <w:ilvl w:val="1"/>
          <w:numId w:val="11"/>
        </w:numPr>
        <w:rPr>
          <w:rFonts w:cs="Arial"/>
        </w:rPr>
      </w:pPr>
      <w:r w:rsidRPr="00B323A3">
        <w:rPr>
          <w:rFonts w:cs="Arial"/>
        </w:rPr>
        <w:t xml:space="preserve">The Trust </w:t>
      </w:r>
      <w:r w:rsidR="00D64D36" w:rsidRPr="00B323A3">
        <w:rPr>
          <w:rFonts w:cs="Arial"/>
        </w:rPr>
        <w:t>will</w:t>
      </w:r>
      <w:r w:rsidRPr="00B323A3">
        <w:rPr>
          <w:rFonts w:cs="Arial"/>
        </w:rPr>
        <w:t xml:space="preserve"> be clear about what purposes </w:t>
      </w:r>
      <w:r w:rsidR="009814B1" w:rsidRPr="00B323A3">
        <w:rPr>
          <w:rFonts w:cs="Arial"/>
        </w:rPr>
        <w:t xml:space="preserve">personal data will be processed for </w:t>
      </w:r>
      <w:r w:rsidRPr="00B323A3">
        <w:rPr>
          <w:rFonts w:cs="Arial"/>
        </w:rPr>
        <w:t>from the start</w:t>
      </w:r>
      <w:r w:rsidR="009814B1" w:rsidRPr="00B323A3">
        <w:rPr>
          <w:rFonts w:cs="Arial"/>
        </w:rPr>
        <w:t>.</w:t>
      </w:r>
      <w:r w:rsidR="00151F2A" w:rsidRPr="00B323A3">
        <w:rPr>
          <w:rFonts w:cs="Arial"/>
        </w:rPr>
        <w:t xml:space="preserve">  Specifying purposes of processing from the outset </w:t>
      </w:r>
      <w:r w:rsidR="00E006BB" w:rsidRPr="00B323A3">
        <w:rPr>
          <w:rFonts w:cs="Arial"/>
        </w:rPr>
        <w:t>is necessary to comply with the Trust</w:t>
      </w:r>
      <w:r w:rsidR="00350FB7" w:rsidRPr="00B323A3">
        <w:rPr>
          <w:rFonts w:cs="Arial"/>
        </w:rPr>
        <w:t>’</w:t>
      </w:r>
      <w:r w:rsidR="00E006BB" w:rsidRPr="00B323A3">
        <w:rPr>
          <w:rFonts w:cs="Arial"/>
        </w:rPr>
        <w:t>s accountability obligations</w:t>
      </w:r>
      <w:r w:rsidR="00151F2A" w:rsidRPr="00B323A3">
        <w:rPr>
          <w:rFonts w:cs="Arial"/>
        </w:rPr>
        <w:t xml:space="preserve"> and helps avoid ‘function creep’. It also helps individuals understand how the Trust uses their data, make decisions about whether they are happy to share their details, and assert their rights over data where appropriate. </w:t>
      </w:r>
      <w:r w:rsidR="00FB387C" w:rsidRPr="00B323A3">
        <w:rPr>
          <w:rFonts w:cs="Arial"/>
        </w:rPr>
        <w:t xml:space="preserve">Being clear about why the Trust is processing personal data will help ensure all processing is fair, </w:t>
      </w:r>
      <w:r w:rsidR="00131080" w:rsidRPr="00B323A3">
        <w:rPr>
          <w:rFonts w:cs="Arial"/>
        </w:rPr>
        <w:t>lawful,</w:t>
      </w:r>
      <w:r w:rsidR="00FB387C" w:rsidRPr="00B323A3">
        <w:rPr>
          <w:rFonts w:cs="Arial"/>
        </w:rPr>
        <w:t xml:space="preserve"> and transparent. </w:t>
      </w:r>
      <w:r w:rsidR="00D64D36" w:rsidRPr="00B323A3">
        <w:rPr>
          <w:rFonts w:cs="Arial"/>
        </w:rPr>
        <w:t>This</w:t>
      </w:r>
      <w:r w:rsidR="00151F2A" w:rsidRPr="00B323A3">
        <w:rPr>
          <w:rFonts w:cs="Arial"/>
        </w:rPr>
        <w:t xml:space="preserve"> is fundamental to building public trust in how </w:t>
      </w:r>
      <w:r w:rsidR="00DD7812" w:rsidRPr="00B323A3">
        <w:rPr>
          <w:rFonts w:cs="Arial"/>
        </w:rPr>
        <w:t>the Trust</w:t>
      </w:r>
      <w:r w:rsidR="00151F2A" w:rsidRPr="00B323A3">
        <w:rPr>
          <w:rFonts w:cs="Arial"/>
        </w:rPr>
        <w:t xml:space="preserve"> use</w:t>
      </w:r>
      <w:r w:rsidR="00DD7812" w:rsidRPr="00B323A3">
        <w:rPr>
          <w:rFonts w:cs="Arial"/>
        </w:rPr>
        <w:t>s</w:t>
      </w:r>
      <w:r w:rsidR="00151F2A" w:rsidRPr="00B323A3">
        <w:rPr>
          <w:rFonts w:cs="Arial"/>
        </w:rPr>
        <w:t xml:space="preserve"> personal data.</w:t>
      </w:r>
    </w:p>
    <w:p w14:paraId="710B62D6" w14:textId="77777777" w:rsidR="00B323A3" w:rsidRDefault="00B323A3" w:rsidP="00B323A3">
      <w:pPr>
        <w:pStyle w:val="ListParagraph"/>
        <w:ind w:left="1162"/>
        <w:rPr>
          <w:rFonts w:cs="Arial"/>
        </w:rPr>
      </w:pPr>
    </w:p>
    <w:p w14:paraId="3B673C09" w14:textId="77777777" w:rsidR="00B323A3" w:rsidRDefault="009814B1" w:rsidP="00B323A3">
      <w:pPr>
        <w:pStyle w:val="ListParagraph"/>
        <w:numPr>
          <w:ilvl w:val="1"/>
          <w:numId w:val="11"/>
        </w:numPr>
        <w:rPr>
          <w:rFonts w:cs="Arial"/>
        </w:rPr>
      </w:pPr>
      <w:r w:rsidRPr="00B323A3">
        <w:rPr>
          <w:rFonts w:cs="Arial"/>
        </w:rPr>
        <w:t xml:space="preserve">The Trust </w:t>
      </w:r>
      <w:r w:rsidR="004C556D" w:rsidRPr="00B323A3">
        <w:rPr>
          <w:rFonts w:cs="Arial"/>
        </w:rPr>
        <w:t>will</w:t>
      </w:r>
      <w:r w:rsidRPr="00B323A3">
        <w:rPr>
          <w:rFonts w:cs="Arial"/>
        </w:rPr>
        <w:t xml:space="preserve"> </w:t>
      </w:r>
      <w:r w:rsidR="0092541E" w:rsidRPr="00B323A3">
        <w:rPr>
          <w:rFonts w:cs="Arial"/>
        </w:rPr>
        <w:t xml:space="preserve">record </w:t>
      </w:r>
      <w:r w:rsidRPr="00B323A3">
        <w:rPr>
          <w:rFonts w:cs="Arial"/>
        </w:rPr>
        <w:t xml:space="preserve">its </w:t>
      </w:r>
      <w:r w:rsidR="0092541E" w:rsidRPr="00B323A3">
        <w:rPr>
          <w:rFonts w:cs="Arial"/>
        </w:rPr>
        <w:t>purposes</w:t>
      </w:r>
      <w:r w:rsidRPr="00B323A3">
        <w:rPr>
          <w:rFonts w:cs="Arial"/>
        </w:rPr>
        <w:t xml:space="preserve"> of processing</w:t>
      </w:r>
      <w:r w:rsidR="0092541E" w:rsidRPr="00B323A3">
        <w:rPr>
          <w:rFonts w:cs="Arial"/>
        </w:rPr>
        <w:t xml:space="preserve"> as part of </w:t>
      </w:r>
      <w:r w:rsidRPr="00B323A3">
        <w:rPr>
          <w:rFonts w:cs="Arial"/>
        </w:rPr>
        <w:t>its</w:t>
      </w:r>
      <w:r w:rsidR="0092541E" w:rsidRPr="00B323A3">
        <w:rPr>
          <w:rFonts w:cs="Arial"/>
        </w:rPr>
        <w:t xml:space="preserve"> documentation obligations and specify them </w:t>
      </w:r>
      <w:r w:rsidRPr="00B323A3">
        <w:rPr>
          <w:rFonts w:cs="Arial"/>
        </w:rPr>
        <w:t>with</w:t>
      </w:r>
      <w:r w:rsidR="0092541E" w:rsidRPr="00B323A3">
        <w:rPr>
          <w:rFonts w:cs="Arial"/>
        </w:rPr>
        <w:t xml:space="preserve">in </w:t>
      </w:r>
      <w:r w:rsidRPr="00B323A3">
        <w:rPr>
          <w:rFonts w:cs="Arial"/>
        </w:rPr>
        <w:t>the</w:t>
      </w:r>
      <w:r w:rsidR="0092541E" w:rsidRPr="00B323A3">
        <w:rPr>
          <w:rFonts w:cs="Arial"/>
        </w:rPr>
        <w:t xml:space="preserve"> privacy information </w:t>
      </w:r>
      <w:r w:rsidRPr="00B323A3">
        <w:rPr>
          <w:rFonts w:cs="Arial"/>
        </w:rPr>
        <w:t xml:space="preserve">developed </w:t>
      </w:r>
      <w:r w:rsidR="0092541E" w:rsidRPr="00B323A3">
        <w:rPr>
          <w:rFonts w:cs="Arial"/>
        </w:rPr>
        <w:t>for</w:t>
      </w:r>
      <w:r w:rsidRPr="00B323A3">
        <w:rPr>
          <w:rFonts w:cs="Arial"/>
        </w:rPr>
        <w:t xml:space="preserve"> and provided to</w:t>
      </w:r>
      <w:r w:rsidR="0092541E" w:rsidRPr="00B323A3">
        <w:rPr>
          <w:rFonts w:cs="Arial"/>
        </w:rPr>
        <w:t xml:space="preserve"> individuals.</w:t>
      </w:r>
      <w:r w:rsidR="00E80CBF" w:rsidRPr="00B323A3">
        <w:rPr>
          <w:rFonts w:cs="Arial"/>
        </w:rPr>
        <w:t xml:space="preserve">  </w:t>
      </w:r>
      <w:r w:rsidR="003257B8" w:rsidRPr="00B323A3">
        <w:rPr>
          <w:rFonts w:cs="Arial"/>
        </w:rPr>
        <w:t>This will be recorded</w:t>
      </w:r>
      <w:r w:rsidR="00E80CBF" w:rsidRPr="00B323A3">
        <w:rPr>
          <w:rFonts w:cs="Arial"/>
        </w:rPr>
        <w:t xml:space="preserve"> as part of </w:t>
      </w:r>
      <w:r w:rsidR="003257B8" w:rsidRPr="00B323A3">
        <w:rPr>
          <w:rFonts w:cs="Arial"/>
        </w:rPr>
        <w:t>the Trust’s</w:t>
      </w:r>
      <w:r w:rsidR="00E80CBF" w:rsidRPr="00B323A3">
        <w:rPr>
          <w:rFonts w:cs="Arial"/>
        </w:rPr>
        <w:t xml:space="preserve"> records of processing (documentation)</w:t>
      </w:r>
      <w:r w:rsidR="003257B8" w:rsidRPr="00B323A3">
        <w:rPr>
          <w:rFonts w:cs="Arial"/>
        </w:rPr>
        <w:t xml:space="preserve"> and will be</w:t>
      </w:r>
      <w:r w:rsidR="00E80CBF" w:rsidRPr="00B323A3">
        <w:rPr>
          <w:rFonts w:cs="Arial"/>
        </w:rPr>
        <w:t xml:space="preserve"> specif</w:t>
      </w:r>
      <w:r w:rsidR="003257B8" w:rsidRPr="00B323A3">
        <w:rPr>
          <w:rFonts w:cs="Arial"/>
        </w:rPr>
        <w:t>ied within</w:t>
      </w:r>
      <w:r w:rsidR="00E80CBF" w:rsidRPr="00B323A3">
        <w:rPr>
          <w:rFonts w:cs="Arial"/>
        </w:rPr>
        <w:t xml:space="preserve"> privacy information </w:t>
      </w:r>
      <w:r w:rsidR="00FD0554" w:rsidRPr="00B323A3">
        <w:rPr>
          <w:rFonts w:cs="Arial"/>
        </w:rPr>
        <w:t>provided to</w:t>
      </w:r>
      <w:r w:rsidR="00E80CBF" w:rsidRPr="00B323A3">
        <w:rPr>
          <w:rFonts w:cs="Arial"/>
        </w:rPr>
        <w:t xml:space="preserve"> individuals.</w:t>
      </w:r>
    </w:p>
    <w:p w14:paraId="0276F8E5" w14:textId="77777777" w:rsidR="00B323A3" w:rsidRPr="00B323A3" w:rsidRDefault="00B323A3" w:rsidP="00B323A3">
      <w:pPr>
        <w:pStyle w:val="ListParagraph"/>
        <w:rPr>
          <w:rFonts w:cs="Arial"/>
        </w:rPr>
      </w:pPr>
    </w:p>
    <w:p w14:paraId="3C3F5343" w14:textId="77777777" w:rsidR="00B323A3" w:rsidRDefault="009814B1" w:rsidP="00B323A3">
      <w:pPr>
        <w:pStyle w:val="ListParagraph"/>
        <w:numPr>
          <w:ilvl w:val="1"/>
          <w:numId w:val="11"/>
        </w:numPr>
        <w:rPr>
          <w:rFonts w:cs="Arial"/>
        </w:rPr>
      </w:pPr>
      <w:r w:rsidRPr="00B323A3">
        <w:rPr>
          <w:rFonts w:cs="Arial"/>
        </w:rPr>
        <w:t xml:space="preserve">The Trust </w:t>
      </w:r>
      <w:r w:rsidR="004C556D" w:rsidRPr="00B323A3">
        <w:rPr>
          <w:rFonts w:cs="Arial"/>
        </w:rPr>
        <w:t>will</w:t>
      </w:r>
      <w:r w:rsidR="00901BD6" w:rsidRPr="00B323A3">
        <w:rPr>
          <w:rFonts w:cs="Arial"/>
        </w:rPr>
        <w:t xml:space="preserve"> only</w:t>
      </w:r>
      <w:r w:rsidR="0092541E" w:rsidRPr="00B323A3">
        <w:rPr>
          <w:rFonts w:cs="Arial"/>
        </w:rPr>
        <w:t xml:space="preserve"> use the personal data</w:t>
      </w:r>
      <w:r w:rsidR="00901BD6" w:rsidRPr="00B323A3">
        <w:rPr>
          <w:rFonts w:cs="Arial"/>
        </w:rPr>
        <w:t xml:space="preserve"> it holds</w:t>
      </w:r>
      <w:r w:rsidR="0092541E" w:rsidRPr="00B323A3">
        <w:rPr>
          <w:rFonts w:cs="Arial"/>
        </w:rPr>
        <w:t xml:space="preserve"> for a new purpose if either this is compatible with </w:t>
      </w:r>
      <w:r w:rsidR="00901BD6" w:rsidRPr="00B323A3">
        <w:rPr>
          <w:rFonts w:cs="Arial"/>
        </w:rPr>
        <w:t>the</w:t>
      </w:r>
      <w:r w:rsidR="0092541E" w:rsidRPr="00B323A3">
        <w:rPr>
          <w:rFonts w:cs="Arial"/>
        </w:rPr>
        <w:t xml:space="preserve"> original purpose, consent</w:t>
      </w:r>
      <w:r w:rsidR="00901BD6" w:rsidRPr="00B323A3">
        <w:rPr>
          <w:rFonts w:cs="Arial"/>
        </w:rPr>
        <w:t xml:space="preserve"> is </w:t>
      </w:r>
      <w:r w:rsidR="00B424E4" w:rsidRPr="00B323A3">
        <w:rPr>
          <w:rFonts w:cs="Arial"/>
        </w:rPr>
        <w:t>obtained</w:t>
      </w:r>
      <w:r w:rsidR="0092541E" w:rsidRPr="00B323A3">
        <w:rPr>
          <w:rFonts w:cs="Arial"/>
        </w:rPr>
        <w:t xml:space="preserve">, or </w:t>
      </w:r>
      <w:r w:rsidR="00B424E4" w:rsidRPr="00B323A3">
        <w:rPr>
          <w:rFonts w:cs="Arial"/>
        </w:rPr>
        <w:t>there is</w:t>
      </w:r>
      <w:r w:rsidR="0092541E" w:rsidRPr="00B323A3">
        <w:rPr>
          <w:rFonts w:cs="Arial"/>
        </w:rPr>
        <w:t xml:space="preserve"> a clear obligation or function set out in law</w:t>
      </w:r>
      <w:r w:rsidR="006C1CCF" w:rsidRPr="00B323A3">
        <w:rPr>
          <w:rFonts w:cs="Arial"/>
        </w:rPr>
        <w:t xml:space="preserve"> -</w:t>
      </w:r>
      <w:r w:rsidR="006C1CCF" w:rsidRPr="006C1CCF">
        <w:t xml:space="preserve"> </w:t>
      </w:r>
      <w:r w:rsidR="006C1CCF" w:rsidRPr="00B323A3">
        <w:rPr>
          <w:rFonts w:cs="Arial"/>
        </w:rPr>
        <w:t>for example, a new function the Trust is required to perform as a public authority</w:t>
      </w:r>
      <w:r w:rsidR="0092541E" w:rsidRPr="00B323A3">
        <w:rPr>
          <w:rFonts w:cs="Arial"/>
        </w:rPr>
        <w:t>.</w:t>
      </w:r>
    </w:p>
    <w:p w14:paraId="6469F60C" w14:textId="77777777" w:rsidR="00B323A3" w:rsidRPr="00B323A3" w:rsidRDefault="00B323A3" w:rsidP="00B323A3">
      <w:pPr>
        <w:pStyle w:val="ListParagraph"/>
        <w:rPr>
          <w:rFonts w:cs="Arial"/>
        </w:rPr>
      </w:pPr>
    </w:p>
    <w:p w14:paraId="1098CE13" w14:textId="50B49EDD" w:rsidR="001F576A" w:rsidRPr="00B323A3" w:rsidRDefault="001F576A" w:rsidP="00B323A3">
      <w:pPr>
        <w:pStyle w:val="ListParagraph"/>
        <w:numPr>
          <w:ilvl w:val="1"/>
          <w:numId w:val="11"/>
        </w:numPr>
        <w:rPr>
          <w:rFonts w:cs="Arial"/>
        </w:rPr>
      </w:pPr>
      <w:r w:rsidRPr="00B323A3">
        <w:rPr>
          <w:rFonts w:cs="Arial"/>
        </w:rPr>
        <w:t>The Trust will consider the following to be compatible purposes:</w:t>
      </w:r>
    </w:p>
    <w:p w14:paraId="7978BE8D" w14:textId="77777777" w:rsidR="00110BCC" w:rsidRPr="001F576A" w:rsidRDefault="00110BCC" w:rsidP="00110BCC">
      <w:pPr>
        <w:pStyle w:val="ListParagraph"/>
        <w:ind w:left="1162"/>
        <w:rPr>
          <w:rFonts w:cs="Arial"/>
        </w:rPr>
      </w:pPr>
    </w:p>
    <w:p w14:paraId="512660E1" w14:textId="5F7F3814" w:rsidR="001F576A" w:rsidRPr="001F576A" w:rsidRDefault="001412DA" w:rsidP="003E5943">
      <w:pPr>
        <w:pStyle w:val="ListParagraph"/>
        <w:numPr>
          <w:ilvl w:val="3"/>
          <w:numId w:val="31"/>
        </w:numPr>
        <w:ind w:left="1701"/>
        <w:rPr>
          <w:rFonts w:cs="Arial"/>
        </w:rPr>
      </w:pPr>
      <w:r>
        <w:rPr>
          <w:rFonts w:cs="Arial"/>
        </w:rPr>
        <w:t>A</w:t>
      </w:r>
      <w:r w:rsidR="001F576A" w:rsidRPr="001F576A">
        <w:rPr>
          <w:rFonts w:cs="Arial"/>
        </w:rPr>
        <w:t xml:space="preserve">rchiving purposes in the public </w:t>
      </w:r>
      <w:proofErr w:type="gramStart"/>
      <w:r w:rsidR="001F576A" w:rsidRPr="001F576A">
        <w:rPr>
          <w:rFonts w:cs="Arial"/>
        </w:rPr>
        <w:t>interest;</w:t>
      </w:r>
      <w:proofErr w:type="gramEnd"/>
    </w:p>
    <w:p w14:paraId="4E0C0BE1" w14:textId="77777777" w:rsidR="00110BCC" w:rsidRDefault="00110BCC" w:rsidP="00305926">
      <w:pPr>
        <w:pStyle w:val="ListParagraph"/>
        <w:ind w:left="1701"/>
        <w:rPr>
          <w:rFonts w:cs="Arial"/>
        </w:rPr>
      </w:pPr>
    </w:p>
    <w:p w14:paraId="485F777F" w14:textId="28332B2C" w:rsidR="001F576A" w:rsidRPr="001F576A" w:rsidRDefault="001412DA" w:rsidP="003E5943">
      <w:pPr>
        <w:pStyle w:val="ListParagraph"/>
        <w:numPr>
          <w:ilvl w:val="3"/>
          <w:numId w:val="31"/>
        </w:numPr>
        <w:ind w:left="1701"/>
        <w:rPr>
          <w:rFonts w:cs="Arial"/>
        </w:rPr>
      </w:pPr>
      <w:r>
        <w:rPr>
          <w:rFonts w:cs="Arial"/>
        </w:rPr>
        <w:t>S</w:t>
      </w:r>
      <w:r w:rsidR="001F576A" w:rsidRPr="001F576A">
        <w:rPr>
          <w:rFonts w:cs="Arial"/>
        </w:rPr>
        <w:t>cientific or historical research purposes; and</w:t>
      </w:r>
    </w:p>
    <w:p w14:paraId="43FF3CC2" w14:textId="77777777" w:rsidR="00110BCC" w:rsidRDefault="00110BCC" w:rsidP="00305926">
      <w:pPr>
        <w:pStyle w:val="ListParagraph"/>
        <w:ind w:left="1701"/>
        <w:rPr>
          <w:rFonts w:cs="Arial"/>
        </w:rPr>
      </w:pPr>
    </w:p>
    <w:p w14:paraId="11782239" w14:textId="3F3088DC" w:rsidR="001F576A" w:rsidRPr="001F576A" w:rsidRDefault="001F576A" w:rsidP="003E5943">
      <w:pPr>
        <w:pStyle w:val="ListParagraph"/>
        <w:numPr>
          <w:ilvl w:val="3"/>
          <w:numId w:val="31"/>
        </w:numPr>
        <w:ind w:left="1701"/>
        <w:rPr>
          <w:rFonts w:cs="Arial"/>
        </w:rPr>
      </w:pPr>
      <w:r w:rsidRPr="124486BD">
        <w:rPr>
          <w:rFonts w:cs="Arial"/>
        </w:rPr>
        <w:t>Statistical purposes.</w:t>
      </w:r>
    </w:p>
    <w:p w14:paraId="20ED6A59" w14:textId="1EECA6B7" w:rsidR="18BB3A9C" w:rsidRDefault="18BB3A9C" w:rsidP="18BB3A9C">
      <w:pPr>
        <w:pStyle w:val="ListParagraph"/>
        <w:numPr>
          <w:ilvl w:val="3"/>
          <w:numId w:val="31"/>
        </w:numPr>
        <w:ind w:left="1701"/>
        <w:rPr>
          <w:rFonts w:cs="Arial"/>
        </w:rPr>
      </w:pPr>
    </w:p>
    <w:p w14:paraId="549416CA" w14:textId="34C73D26" w:rsidR="00110BCC" w:rsidRDefault="68FAF2E9" w:rsidP="124486BD">
      <w:pPr>
        <w:rPr>
          <w:rFonts w:cs="Arial"/>
        </w:rPr>
      </w:pPr>
      <w:r w:rsidRPr="124486BD">
        <w:rPr>
          <w:rFonts w:cs="Arial"/>
        </w:rPr>
        <w:t>6.21</w:t>
      </w:r>
      <w:r w:rsidR="589A3C2E" w:rsidRPr="124486BD">
        <w:rPr>
          <w:rFonts w:cs="Arial"/>
        </w:rPr>
        <w:t>.1</w:t>
      </w:r>
      <w:r w:rsidRPr="124486BD">
        <w:rPr>
          <w:rFonts w:cs="Arial"/>
        </w:rPr>
        <w:t>A</w:t>
      </w:r>
    </w:p>
    <w:p w14:paraId="68D0829B" w14:textId="4BAAA00C" w:rsidR="18BB3A9C" w:rsidRDefault="18BB3A9C" w:rsidP="124486BD">
      <w:pPr>
        <w:pStyle w:val="ListParagraph"/>
        <w:ind w:left="1162"/>
        <w:rPr>
          <w:rFonts w:cs="Arial"/>
          <w:color w:val="1F497D" w:themeColor="text2"/>
        </w:rPr>
      </w:pPr>
    </w:p>
    <w:p w14:paraId="0FA63B20" w14:textId="1B0B184A" w:rsidR="068E0232" w:rsidRDefault="068E0232" w:rsidP="7AC1B05A">
      <w:pPr>
        <w:rPr>
          <w:rFonts w:cs="Arial"/>
          <w:color w:val="1F497D" w:themeColor="text2"/>
        </w:rPr>
      </w:pPr>
      <w:r w:rsidRPr="7AC1B05A">
        <w:rPr>
          <w:rFonts w:cs="Arial"/>
        </w:rPr>
        <w:t>Where personal data is accessed or reused fo</w:t>
      </w:r>
      <w:r w:rsidR="45D66323" w:rsidRPr="7AC1B05A">
        <w:rPr>
          <w:rFonts w:cs="Arial"/>
        </w:rPr>
        <w:t>r secondary purposes in accordance with the Data Use and Access Act</w:t>
      </w:r>
      <w:r w:rsidR="4C5DAD70" w:rsidRPr="7AC1B05A">
        <w:rPr>
          <w:rFonts w:cs="Arial"/>
        </w:rPr>
        <w:t xml:space="preserve"> 2025,</w:t>
      </w:r>
      <w:r w:rsidR="2A4B7932" w:rsidRPr="7AC1B05A">
        <w:rPr>
          <w:rFonts w:cs="Arial"/>
        </w:rPr>
        <w:t xml:space="preserve"> The Trust will ensure that such use is subject to appropriate governance, transpare</w:t>
      </w:r>
      <w:r w:rsidR="34D797F7" w:rsidRPr="7AC1B05A">
        <w:rPr>
          <w:rFonts w:cs="Arial"/>
        </w:rPr>
        <w:t>ncy,</w:t>
      </w:r>
      <w:r w:rsidR="148192ED" w:rsidRPr="7AC1B05A">
        <w:rPr>
          <w:rFonts w:cs="Arial"/>
        </w:rPr>
        <w:t xml:space="preserve"> </w:t>
      </w:r>
      <w:r w:rsidR="34D797F7" w:rsidRPr="7AC1B05A">
        <w:rPr>
          <w:rFonts w:cs="Arial"/>
        </w:rPr>
        <w:t>technical</w:t>
      </w:r>
      <w:r w:rsidR="16A669E5" w:rsidRPr="7AC1B05A">
        <w:rPr>
          <w:rFonts w:cs="Arial"/>
        </w:rPr>
        <w:t xml:space="preserve"> controls</w:t>
      </w:r>
      <w:r w:rsidR="017D47A0" w:rsidRPr="7AC1B05A">
        <w:rPr>
          <w:rFonts w:cs="Arial"/>
        </w:rPr>
        <w:t xml:space="preserve"> and data minimisation measures, and does not under</w:t>
      </w:r>
      <w:r w:rsidR="268D3C74" w:rsidRPr="7AC1B05A">
        <w:rPr>
          <w:rFonts w:cs="Arial"/>
        </w:rPr>
        <w:t>mine the rights and reasonable expectations of individuals.</w:t>
      </w:r>
    </w:p>
    <w:p w14:paraId="41EA1267" w14:textId="12092794" w:rsidR="18BB3A9C" w:rsidRDefault="18BB3A9C" w:rsidP="124486BD">
      <w:pPr>
        <w:pStyle w:val="ListParagraph"/>
        <w:ind w:left="1162"/>
        <w:rPr>
          <w:rFonts w:cs="Arial"/>
          <w:color w:val="1F497D" w:themeColor="text2"/>
        </w:rPr>
      </w:pPr>
    </w:p>
    <w:p w14:paraId="09FADBA8" w14:textId="220AE01C" w:rsidR="00A50087" w:rsidRDefault="00E922D2" w:rsidP="00B323A3">
      <w:pPr>
        <w:pStyle w:val="ListParagraph"/>
        <w:numPr>
          <w:ilvl w:val="1"/>
          <w:numId w:val="11"/>
        </w:numPr>
        <w:rPr>
          <w:rFonts w:cs="Arial"/>
        </w:rPr>
      </w:pPr>
      <w:r w:rsidRPr="124486BD">
        <w:rPr>
          <w:rFonts w:cs="Arial"/>
        </w:rPr>
        <w:t xml:space="preserve">For all other purposes </w:t>
      </w:r>
      <w:r w:rsidR="00876A48" w:rsidRPr="124486BD">
        <w:rPr>
          <w:rFonts w:cs="Arial"/>
        </w:rPr>
        <w:t xml:space="preserve">the Trust will </w:t>
      </w:r>
      <w:r w:rsidR="00F24543" w:rsidRPr="124486BD">
        <w:rPr>
          <w:rFonts w:cs="Arial"/>
        </w:rPr>
        <w:t xml:space="preserve">confirm that </w:t>
      </w:r>
      <w:r w:rsidR="00A50087" w:rsidRPr="124486BD">
        <w:rPr>
          <w:rFonts w:cs="Arial"/>
        </w:rPr>
        <w:t>these are</w:t>
      </w:r>
      <w:r w:rsidR="00F24543" w:rsidRPr="124486BD">
        <w:rPr>
          <w:rFonts w:cs="Arial"/>
        </w:rPr>
        <w:t xml:space="preserve"> not incompatible </w:t>
      </w:r>
      <w:r w:rsidR="001F576A" w:rsidRPr="124486BD">
        <w:rPr>
          <w:rFonts w:cs="Arial"/>
        </w:rPr>
        <w:t xml:space="preserve">with </w:t>
      </w:r>
      <w:r w:rsidR="00F24543" w:rsidRPr="124486BD">
        <w:rPr>
          <w:rFonts w:cs="Arial"/>
        </w:rPr>
        <w:t>the</w:t>
      </w:r>
      <w:r w:rsidR="001F576A" w:rsidRPr="124486BD">
        <w:rPr>
          <w:rFonts w:cs="Arial"/>
        </w:rPr>
        <w:t xml:space="preserve"> original purpose </w:t>
      </w:r>
      <w:r w:rsidR="41CBC459" w:rsidRPr="124486BD">
        <w:rPr>
          <w:rFonts w:cs="Arial"/>
        </w:rPr>
        <w:t>considering</w:t>
      </w:r>
      <w:r w:rsidR="001F576A" w:rsidRPr="124486BD">
        <w:rPr>
          <w:rFonts w:cs="Arial"/>
        </w:rPr>
        <w:t>:</w:t>
      </w:r>
    </w:p>
    <w:p w14:paraId="08E6BBF3" w14:textId="77777777" w:rsidR="00A50087" w:rsidRDefault="00A50087" w:rsidP="00A50087">
      <w:pPr>
        <w:pStyle w:val="ListParagraph"/>
        <w:ind w:left="1162"/>
        <w:rPr>
          <w:rFonts w:cs="Arial"/>
        </w:rPr>
      </w:pPr>
    </w:p>
    <w:p w14:paraId="629FD2D3" w14:textId="10AEA204" w:rsidR="00A50087" w:rsidRDefault="00A50087" w:rsidP="00305926">
      <w:pPr>
        <w:pStyle w:val="ListParagraph"/>
        <w:numPr>
          <w:ilvl w:val="3"/>
          <w:numId w:val="31"/>
        </w:numPr>
        <w:ind w:left="1701"/>
        <w:rPr>
          <w:rFonts w:cs="Arial"/>
        </w:rPr>
      </w:pPr>
      <w:r>
        <w:rPr>
          <w:rFonts w:cs="Arial"/>
        </w:rPr>
        <w:t>A</w:t>
      </w:r>
      <w:r w:rsidR="001F576A" w:rsidRPr="00A50087">
        <w:rPr>
          <w:rFonts w:cs="Arial"/>
        </w:rPr>
        <w:t xml:space="preserve">ny link between </w:t>
      </w:r>
      <w:r>
        <w:rPr>
          <w:rFonts w:cs="Arial"/>
        </w:rPr>
        <w:t>the</w:t>
      </w:r>
      <w:r w:rsidR="001F576A" w:rsidRPr="00A50087">
        <w:rPr>
          <w:rFonts w:cs="Arial"/>
        </w:rPr>
        <w:t xml:space="preserve"> original purpose and the new </w:t>
      </w:r>
      <w:r w:rsidR="00131080" w:rsidRPr="00A50087">
        <w:rPr>
          <w:rFonts w:cs="Arial"/>
        </w:rPr>
        <w:t>purpose.</w:t>
      </w:r>
    </w:p>
    <w:p w14:paraId="3382A092" w14:textId="77777777" w:rsidR="00A50087" w:rsidRDefault="00A50087" w:rsidP="00305926">
      <w:pPr>
        <w:pStyle w:val="ListParagraph"/>
        <w:ind w:left="1701"/>
        <w:rPr>
          <w:rFonts w:cs="Arial"/>
        </w:rPr>
      </w:pPr>
    </w:p>
    <w:p w14:paraId="53E56203" w14:textId="271C48D4" w:rsidR="00B97499" w:rsidRDefault="00A50087" w:rsidP="00305926">
      <w:pPr>
        <w:pStyle w:val="ListParagraph"/>
        <w:numPr>
          <w:ilvl w:val="3"/>
          <w:numId w:val="31"/>
        </w:numPr>
        <w:ind w:left="1701"/>
        <w:rPr>
          <w:rFonts w:cs="Arial"/>
        </w:rPr>
      </w:pPr>
      <w:r w:rsidRPr="124486BD">
        <w:rPr>
          <w:rFonts w:cs="Arial"/>
        </w:rPr>
        <w:t>T</w:t>
      </w:r>
      <w:r w:rsidR="001F576A" w:rsidRPr="124486BD">
        <w:rPr>
          <w:rFonts w:cs="Arial"/>
        </w:rPr>
        <w:t xml:space="preserve">he context in which </w:t>
      </w:r>
      <w:r w:rsidRPr="124486BD">
        <w:rPr>
          <w:rFonts w:cs="Arial"/>
        </w:rPr>
        <w:t xml:space="preserve">the personal data was </w:t>
      </w:r>
      <w:r w:rsidR="001F576A" w:rsidRPr="124486BD">
        <w:rPr>
          <w:rFonts w:cs="Arial"/>
        </w:rPr>
        <w:t>originally collected</w:t>
      </w:r>
      <w:r w:rsidRPr="124486BD">
        <w:rPr>
          <w:rFonts w:cs="Arial"/>
        </w:rPr>
        <w:t xml:space="preserve"> - </w:t>
      </w:r>
      <w:r w:rsidR="001F576A" w:rsidRPr="124486BD">
        <w:rPr>
          <w:rFonts w:cs="Arial"/>
        </w:rPr>
        <w:t xml:space="preserve">in particular, </w:t>
      </w:r>
      <w:r w:rsidRPr="124486BD">
        <w:rPr>
          <w:rFonts w:cs="Arial"/>
        </w:rPr>
        <w:t>the</w:t>
      </w:r>
      <w:r w:rsidR="001F576A" w:rsidRPr="124486BD">
        <w:rPr>
          <w:rFonts w:cs="Arial"/>
        </w:rPr>
        <w:t xml:space="preserve"> relationship with the individual </w:t>
      </w:r>
      <w:bookmarkStart w:id="17" w:name="_Int_DecVT3pe"/>
      <w:proofErr w:type="gramStart"/>
      <w:r w:rsidR="36C7902C" w:rsidRPr="124486BD">
        <w:rPr>
          <w:rFonts w:cs="Arial"/>
        </w:rPr>
        <w:t xml:space="preserve">and </w:t>
      </w:r>
      <w:r w:rsidR="001F576A" w:rsidRPr="124486BD">
        <w:rPr>
          <w:rFonts w:cs="Arial"/>
        </w:rPr>
        <w:t xml:space="preserve"> what</w:t>
      </w:r>
      <w:bookmarkEnd w:id="17"/>
      <w:proofErr w:type="gramEnd"/>
      <w:r w:rsidR="001F576A" w:rsidRPr="124486BD">
        <w:rPr>
          <w:rFonts w:cs="Arial"/>
        </w:rPr>
        <w:t xml:space="preserve"> they would reasonably </w:t>
      </w:r>
      <w:proofErr w:type="gramStart"/>
      <w:r w:rsidR="001F576A" w:rsidRPr="124486BD">
        <w:rPr>
          <w:rFonts w:cs="Arial"/>
        </w:rPr>
        <w:t>expect;</w:t>
      </w:r>
      <w:proofErr w:type="gramEnd"/>
    </w:p>
    <w:p w14:paraId="21EDE582" w14:textId="77777777" w:rsidR="00B97499" w:rsidRPr="00305926" w:rsidRDefault="00B97499" w:rsidP="00305926">
      <w:pPr>
        <w:ind w:left="1341"/>
        <w:rPr>
          <w:rFonts w:cs="Arial"/>
        </w:rPr>
      </w:pPr>
    </w:p>
    <w:p w14:paraId="62F1D064" w14:textId="168A2AC1" w:rsidR="00B97499" w:rsidRDefault="00A50087" w:rsidP="00305926">
      <w:pPr>
        <w:pStyle w:val="ListParagraph"/>
        <w:numPr>
          <w:ilvl w:val="3"/>
          <w:numId w:val="31"/>
        </w:numPr>
        <w:ind w:left="1701"/>
        <w:rPr>
          <w:rFonts w:cs="Arial"/>
        </w:rPr>
      </w:pPr>
      <w:r w:rsidRPr="00B97499">
        <w:rPr>
          <w:rFonts w:cs="Arial"/>
        </w:rPr>
        <w:t>T</w:t>
      </w:r>
      <w:r w:rsidR="001F576A" w:rsidRPr="00B97499">
        <w:rPr>
          <w:rFonts w:cs="Arial"/>
        </w:rPr>
        <w:t xml:space="preserve">he nature of the personal data – </w:t>
      </w:r>
      <w:r w:rsidRPr="00B97499">
        <w:rPr>
          <w:rFonts w:cs="Arial"/>
        </w:rPr>
        <w:t>for example whether it</w:t>
      </w:r>
      <w:r w:rsidR="001F576A" w:rsidRPr="00B97499">
        <w:rPr>
          <w:rFonts w:cs="Arial"/>
        </w:rPr>
        <w:t xml:space="preserve"> is particularly </w:t>
      </w:r>
      <w:r w:rsidR="00131080" w:rsidRPr="00B97499">
        <w:rPr>
          <w:rFonts w:cs="Arial"/>
        </w:rPr>
        <w:t>sensitive.</w:t>
      </w:r>
    </w:p>
    <w:p w14:paraId="71D46E8E" w14:textId="77777777" w:rsidR="00B97499" w:rsidRPr="00305926" w:rsidRDefault="00B97499" w:rsidP="00305926">
      <w:pPr>
        <w:rPr>
          <w:rFonts w:cs="Arial"/>
        </w:rPr>
      </w:pPr>
    </w:p>
    <w:p w14:paraId="40E4C454" w14:textId="77777777" w:rsidR="00B97499" w:rsidRDefault="00A50087" w:rsidP="00305926">
      <w:pPr>
        <w:pStyle w:val="ListParagraph"/>
        <w:numPr>
          <w:ilvl w:val="3"/>
          <w:numId w:val="31"/>
        </w:numPr>
        <w:ind w:left="1701"/>
        <w:rPr>
          <w:rFonts w:cs="Arial"/>
        </w:rPr>
      </w:pPr>
      <w:r w:rsidRPr="00B97499">
        <w:rPr>
          <w:rFonts w:cs="Arial"/>
        </w:rPr>
        <w:t>T</w:t>
      </w:r>
      <w:r w:rsidR="001F576A" w:rsidRPr="00B97499">
        <w:rPr>
          <w:rFonts w:cs="Arial"/>
        </w:rPr>
        <w:t>he possible consequences for individuals of the new processing; and</w:t>
      </w:r>
    </w:p>
    <w:p w14:paraId="234C98D1" w14:textId="77777777" w:rsidR="00B97499" w:rsidRPr="00305926" w:rsidRDefault="00B97499" w:rsidP="00305926">
      <w:pPr>
        <w:rPr>
          <w:rFonts w:cs="Arial"/>
        </w:rPr>
      </w:pPr>
    </w:p>
    <w:p w14:paraId="295FB7D7" w14:textId="2B35B00F" w:rsidR="001F576A" w:rsidRPr="00B97499" w:rsidRDefault="00B97499" w:rsidP="00305926">
      <w:pPr>
        <w:pStyle w:val="ListParagraph"/>
        <w:numPr>
          <w:ilvl w:val="3"/>
          <w:numId w:val="31"/>
        </w:numPr>
        <w:ind w:left="1701"/>
        <w:rPr>
          <w:rFonts w:cs="Arial"/>
        </w:rPr>
      </w:pPr>
      <w:r>
        <w:rPr>
          <w:rFonts w:cs="Arial"/>
        </w:rPr>
        <w:t>W</w:t>
      </w:r>
      <w:r w:rsidR="001F576A" w:rsidRPr="00B97499">
        <w:rPr>
          <w:rFonts w:cs="Arial"/>
        </w:rPr>
        <w:t xml:space="preserve">hether there are appropriate safeguards </w:t>
      </w:r>
      <w:r>
        <w:rPr>
          <w:rFonts w:cs="Arial"/>
        </w:rPr>
        <w:t>–</w:t>
      </w:r>
      <w:r w:rsidR="001F576A" w:rsidRPr="00B97499">
        <w:rPr>
          <w:rFonts w:cs="Arial"/>
        </w:rPr>
        <w:t xml:space="preserve"> </w:t>
      </w:r>
      <w:r>
        <w:rPr>
          <w:rFonts w:cs="Arial"/>
        </w:rPr>
        <w:t>for example</w:t>
      </w:r>
      <w:r w:rsidR="001F576A" w:rsidRPr="00B97499">
        <w:rPr>
          <w:rFonts w:cs="Arial"/>
        </w:rPr>
        <w:t xml:space="preserve"> encryption or pseudonymisation.</w:t>
      </w:r>
    </w:p>
    <w:p w14:paraId="0FCAFAA0" w14:textId="77777777" w:rsidR="00852541" w:rsidRPr="003257B8" w:rsidRDefault="00852541" w:rsidP="003257B8">
      <w:pPr>
        <w:rPr>
          <w:rFonts w:cs="Arial"/>
        </w:rPr>
      </w:pPr>
    </w:p>
    <w:p w14:paraId="674F2357" w14:textId="77777777" w:rsidR="00B323A3" w:rsidRDefault="005B1CD3" w:rsidP="00B323A3">
      <w:pPr>
        <w:numPr>
          <w:ilvl w:val="1"/>
          <w:numId w:val="11"/>
        </w:numPr>
        <w:spacing w:after="240"/>
        <w:jc w:val="both"/>
        <w:rPr>
          <w:rFonts w:cs="Arial"/>
        </w:rPr>
      </w:pPr>
      <w:r w:rsidRPr="00EE6D8F">
        <w:rPr>
          <w:rFonts w:cs="Arial"/>
          <w:b/>
        </w:rPr>
        <w:t xml:space="preserve">Principle 3: </w:t>
      </w:r>
      <w:r w:rsidR="006F415A" w:rsidRPr="00EE6D8F">
        <w:rPr>
          <w:rFonts w:cs="Arial"/>
          <w:b/>
        </w:rPr>
        <w:t>‘Data Minimisation’.</w:t>
      </w:r>
      <w:r w:rsidR="007E7C8A" w:rsidRPr="00EE6D8F">
        <w:rPr>
          <w:rFonts w:cs="Arial"/>
          <w:b/>
        </w:rPr>
        <w:t xml:space="preserve"> </w:t>
      </w:r>
      <w:r w:rsidR="007E7C8A" w:rsidRPr="00EE6D8F">
        <w:rPr>
          <w:rFonts w:cs="Arial"/>
          <w:bCs/>
        </w:rPr>
        <w:t xml:space="preserve"> </w:t>
      </w:r>
      <w:r w:rsidR="007E7C8A" w:rsidRPr="00E93687">
        <w:rPr>
          <w:rFonts w:cs="Arial"/>
          <w:bCs/>
          <w:i/>
          <w:iCs/>
        </w:rPr>
        <w:t xml:space="preserve">Personal data shall be </w:t>
      </w:r>
      <w:r w:rsidR="007E7C8A" w:rsidRPr="00E93687">
        <w:rPr>
          <w:rFonts w:cs="Arial"/>
          <w:i/>
          <w:iCs/>
        </w:rPr>
        <w:t>adequate, relevant and limited to what is necessary in relation to the purposes for which they are processed</w:t>
      </w:r>
      <w:r w:rsidR="00EE6D8F" w:rsidRPr="00E93687">
        <w:rPr>
          <w:rFonts w:cs="Arial"/>
          <w:i/>
          <w:iCs/>
        </w:rPr>
        <w:t>.</w:t>
      </w:r>
    </w:p>
    <w:p w14:paraId="6A822F20" w14:textId="03A18A9C" w:rsidR="00EE6D8F" w:rsidRPr="00B323A3" w:rsidRDefault="00EE6D8F" w:rsidP="00B323A3">
      <w:pPr>
        <w:numPr>
          <w:ilvl w:val="1"/>
          <w:numId w:val="11"/>
        </w:numPr>
        <w:spacing w:after="240"/>
        <w:jc w:val="both"/>
        <w:rPr>
          <w:rFonts w:cs="Arial"/>
        </w:rPr>
      </w:pPr>
      <w:r w:rsidRPr="00B323A3">
        <w:rPr>
          <w:rFonts w:cs="Arial"/>
          <w:bCs/>
        </w:rPr>
        <w:t>The Trust will ensure that the personal data it processes is:</w:t>
      </w:r>
    </w:p>
    <w:p w14:paraId="1F56DBC2" w14:textId="6944D988" w:rsidR="00EE6D8F" w:rsidRPr="00EE6D8F" w:rsidRDefault="00EE6D8F" w:rsidP="00305926">
      <w:pPr>
        <w:numPr>
          <w:ilvl w:val="3"/>
          <w:numId w:val="37"/>
        </w:numPr>
        <w:spacing w:after="240"/>
        <w:ind w:left="1701"/>
        <w:jc w:val="both"/>
        <w:rPr>
          <w:rFonts w:cs="Arial"/>
          <w:bCs/>
        </w:rPr>
      </w:pPr>
      <w:r>
        <w:rPr>
          <w:rFonts w:cs="Arial"/>
          <w:bCs/>
        </w:rPr>
        <w:t>A</w:t>
      </w:r>
      <w:r w:rsidRPr="00EE6D8F">
        <w:rPr>
          <w:rFonts w:cs="Arial"/>
          <w:bCs/>
        </w:rPr>
        <w:t xml:space="preserve">dequate - sufficient to properly fulfil </w:t>
      </w:r>
      <w:r w:rsidR="000C6B94">
        <w:rPr>
          <w:rFonts w:cs="Arial"/>
          <w:bCs/>
        </w:rPr>
        <w:t>the</w:t>
      </w:r>
      <w:r w:rsidRPr="00EE6D8F">
        <w:rPr>
          <w:rFonts w:cs="Arial"/>
          <w:bCs/>
        </w:rPr>
        <w:t xml:space="preserve"> stated </w:t>
      </w:r>
      <w:proofErr w:type="gramStart"/>
      <w:r w:rsidRPr="00EE6D8F">
        <w:rPr>
          <w:rFonts w:cs="Arial"/>
          <w:bCs/>
        </w:rPr>
        <w:t>purpose;</w:t>
      </w:r>
      <w:proofErr w:type="gramEnd"/>
    </w:p>
    <w:p w14:paraId="623961FD" w14:textId="4B754149" w:rsidR="00EE6D8F" w:rsidRPr="00EE6D8F" w:rsidRDefault="000C6B94" w:rsidP="00305926">
      <w:pPr>
        <w:numPr>
          <w:ilvl w:val="3"/>
          <w:numId w:val="37"/>
        </w:numPr>
        <w:spacing w:after="240"/>
        <w:ind w:left="1701"/>
        <w:jc w:val="both"/>
        <w:rPr>
          <w:rFonts w:cs="Arial"/>
          <w:bCs/>
        </w:rPr>
      </w:pPr>
      <w:r>
        <w:rPr>
          <w:rFonts w:cs="Arial"/>
          <w:bCs/>
        </w:rPr>
        <w:t>R</w:t>
      </w:r>
      <w:r w:rsidR="00EE6D8F" w:rsidRPr="00EE6D8F">
        <w:rPr>
          <w:rFonts w:cs="Arial"/>
          <w:bCs/>
        </w:rPr>
        <w:t>elevant - has a rational link to that purpose; and</w:t>
      </w:r>
    </w:p>
    <w:p w14:paraId="4E710FCF" w14:textId="55A93B00" w:rsidR="00EE6D8F" w:rsidRPr="00EE6D8F" w:rsidRDefault="000C6B94" w:rsidP="00305926">
      <w:pPr>
        <w:numPr>
          <w:ilvl w:val="3"/>
          <w:numId w:val="37"/>
        </w:numPr>
        <w:spacing w:after="240"/>
        <w:ind w:left="1701"/>
        <w:jc w:val="both"/>
        <w:rPr>
          <w:rFonts w:cs="Arial"/>
          <w:bCs/>
        </w:rPr>
      </w:pPr>
      <w:r>
        <w:rPr>
          <w:rFonts w:cs="Arial"/>
          <w:bCs/>
        </w:rPr>
        <w:t>L</w:t>
      </w:r>
      <w:r w:rsidR="00EE6D8F" w:rsidRPr="00EE6D8F">
        <w:rPr>
          <w:rFonts w:cs="Arial"/>
          <w:bCs/>
        </w:rPr>
        <w:t xml:space="preserve">imited to what is necessary </w:t>
      </w:r>
      <w:r w:rsidR="002E0324">
        <w:rPr>
          <w:rFonts w:cs="Arial"/>
          <w:bCs/>
        </w:rPr>
        <w:t>–</w:t>
      </w:r>
      <w:r w:rsidR="00EE6D8F" w:rsidRPr="00EE6D8F">
        <w:rPr>
          <w:rFonts w:cs="Arial"/>
          <w:bCs/>
        </w:rPr>
        <w:t xml:space="preserve"> </w:t>
      </w:r>
      <w:r w:rsidR="002E0324">
        <w:rPr>
          <w:rFonts w:cs="Arial"/>
          <w:bCs/>
        </w:rPr>
        <w:t xml:space="preserve">only the minimum amount of personal data </w:t>
      </w:r>
      <w:r w:rsidR="00C77E79">
        <w:rPr>
          <w:rFonts w:cs="Arial"/>
          <w:bCs/>
        </w:rPr>
        <w:t>needed for the purpose will be processed</w:t>
      </w:r>
      <w:r w:rsidR="00EE6D8F" w:rsidRPr="00EE6D8F">
        <w:rPr>
          <w:rFonts w:cs="Arial"/>
          <w:bCs/>
        </w:rPr>
        <w:t>.</w:t>
      </w:r>
    </w:p>
    <w:p w14:paraId="29AC9E6F" w14:textId="1808A02C" w:rsidR="00EE6D8F" w:rsidRDefault="00DD1CA9" w:rsidP="124486BD">
      <w:pPr>
        <w:numPr>
          <w:ilvl w:val="1"/>
          <w:numId w:val="11"/>
        </w:numPr>
        <w:spacing w:after="240"/>
        <w:jc w:val="both"/>
        <w:rPr>
          <w:rFonts w:cs="Arial"/>
        </w:rPr>
      </w:pPr>
      <w:r w:rsidRPr="124486BD">
        <w:rPr>
          <w:rFonts w:cs="Arial"/>
        </w:rPr>
        <w:t xml:space="preserve">Where the purposes of processing have been clearly </w:t>
      </w:r>
      <w:r w:rsidR="00C04F01" w:rsidRPr="124486BD">
        <w:rPr>
          <w:rFonts w:cs="Arial"/>
        </w:rPr>
        <w:t>determined</w:t>
      </w:r>
      <w:r w:rsidRPr="124486BD">
        <w:rPr>
          <w:rFonts w:cs="Arial"/>
        </w:rPr>
        <w:t xml:space="preserve"> th</w:t>
      </w:r>
      <w:r w:rsidR="00B65EB4" w:rsidRPr="124486BD">
        <w:rPr>
          <w:rFonts w:cs="Arial"/>
        </w:rPr>
        <w:t xml:space="preserve">e Trust will </w:t>
      </w:r>
      <w:r w:rsidRPr="124486BD">
        <w:rPr>
          <w:rFonts w:cs="Arial"/>
        </w:rPr>
        <w:t>identify the minimum amount of personal data needed to fulfil each purpose</w:t>
      </w:r>
      <w:r w:rsidR="00834711" w:rsidRPr="124486BD">
        <w:rPr>
          <w:rFonts w:cs="Arial"/>
        </w:rPr>
        <w:t xml:space="preserve">.  </w:t>
      </w:r>
      <w:r w:rsidR="00166CA2" w:rsidRPr="124486BD">
        <w:rPr>
          <w:rFonts w:cs="Arial"/>
        </w:rPr>
        <w:t xml:space="preserve">Where relevant and appropriate this will </w:t>
      </w:r>
      <w:r w:rsidR="007D4CFF" w:rsidRPr="124486BD">
        <w:rPr>
          <w:rFonts w:cs="Arial"/>
        </w:rPr>
        <w:t xml:space="preserve">be </w:t>
      </w:r>
      <w:r w:rsidR="00166CA2" w:rsidRPr="124486BD">
        <w:rPr>
          <w:rFonts w:cs="Arial"/>
        </w:rPr>
        <w:t>consider</w:t>
      </w:r>
      <w:r w:rsidR="007D4CFF" w:rsidRPr="124486BD">
        <w:rPr>
          <w:rFonts w:cs="Arial"/>
        </w:rPr>
        <w:t>ed</w:t>
      </w:r>
      <w:r w:rsidR="00166CA2" w:rsidRPr="124486BD">
        <w:rPr>
          <w:rFonts w:cs="Arial"/>
        </w:rPr>
        <w:t xml:space="preserve"> separately for </w:t>
      </w:r>
      <w:bookmarkStart w:id="18" w:name="_Int_nru9Y7GF"/>
      <w:proofErr w:type="gramStart"/>
      <w:r w:rsidR="00166CA2" w:rsidRPr="124486BD">
        <w:rPr>
          <w:rFonts w:cs="Arial"/>
        </w:rPr>
        <w:t>each individual</w:t>
      </w:r>
      <w:bookmarkEnd w:id="18"/>
      <w:proofErr w:type="gramEnd"/>
      <w:r w:rsidR="00166CA2" w:rsidRPr="124486BD">
        <w:rPr>
          <w:rFonts w:cs="Arial"/>
        </w:rPr>
        <w:t xml:space="preserve">, or for each group of individuals </w:t>
      </w:r>
      <w:r w:rsidR="007D4CFF" w:rsidRPr="124486BD">
        <w:rPr>
          <w:rFonts w:cs="Arial"/>
        </w:rPr>
        <w:t xml:space="preserve">that </w:t>
      </w:r>
      <w:r w:rsidR="00166CA2" w:rsidRPr="124486BD">
        <w:rPr>
          <w:rFonts w:cs="Arial"/>
        </w:rPr>
        <w:t>shar</w:t>
      </w:r>
      <w:r w:rsidR="007D4CFF" w:rsidRPr="124486BD">
        <w:rPr>
          <w:rFonts w:cs="Arial"/>
        </w:rPr>
        <w:t>e</w:t>
      </w:r>
      <w:r w:rsidR="00166CA2" w:rsidRPr="124486BD">
        <w:rPr>
          <w:rFonts w:cs="Arial"/>
        </w:rPr>
        <w:t xml:space="preserve"> relevant characteristics.</w:t>
      </w:r>
    </w:p>
    <w:p w14:paraId="150D7724" w14:textId="6DD28C32" w:rsidR="00B323A3" w:rsidRDefault="0043224A" w:rsidP="3B2B9009">
      <w:pPr>
        <w:numPr>
          <w:ilvl w:val="1"/>
          <w:numId w:val="11"/>
        </w:numPr>
        <w:spacing w:after="240"/>
        <w:jc w:val="both"/>
        <w:rPr>
          <w:rFonts w:cs="Arial"/>
        </w:rPr>
      </w:pPr>
      <w:r w:rsidRPr="124486BD">
        <w:rPr>
          <w:rFonts w:cs="Arial"/>
        </w:rPr>
        <w:t xml:space="preserve">The Trust will periodically review its processing to check that the personal data held is still relevant and adequate for its </w:t>
      </w:r>
      <w:r w:rsidR="00CC528F" w:rsidRPr="124486BD">
        <w:rPr>
          <w:rFonts w:cs="Arial"/>
        </w:rPr>
        <w:t>purposes and</w:t>
      </w:r>
      <w:r w:rsidRPr="124486BD">
        <w:rPr>
          <w:rFonts w:cs="Arial"/>
        </w:rPr>
        <w:t xml:space="preserve"> delete anything which is no longer </w:t>
      </w:r>
      <w:r w:rsidR="2D94F753" w:rsidRPr="124486BD">
        <w:rPr>
          <w:rFonts w:cs="Arial"/>
        </w:rPr>
        <w:t>needed or</w:t>
      </w:r>
      <w:r w:rsidR="000B36AC" w:rsidRPr="124486BD">
        <w:rPr>
          <w:rFonts w:cs="Arial"/>
        </w:rPr>
        <w:t xml:space="preserve"> revi</w:t>
      </w:r>
      <w:r w:rsidR="00B60AA7" w:rsidRPr="124486BD">
        <w:rPr>
          <w:rFonts w:cs="Arial"/>
        </w:rPr>
        <w:t>s</w:t>
      </w:r>
      <w:r w:rsidR="000B36AC" w:rsidRPr="124486BD">
        <w:rPr>
          <w:rFonts w:cs="Arial"/>
        </w:rPr>
        <w:t xml:space="preserve">e data collection </w:t>
      </w:r>
      <w:r w:rsidR="00B60AA7" w:rsidRPr="124486BD">
        <w:rPr>
          <w:rFonts w:cs="Arial"/>
        </w:rPr>
        <w:t>processes if personal data is deemed to be inadequate</w:t>
      </w:r>
      <w:r w:rsidRPr="124486BD">
        <w:rPr>
          <w:rFonts w:cs="Arial"/>
        </w:rPr>
        <w:t xml:space="preserve">. When </w:t>
      </w:r>
      <w:r w:rsidR="00CC528F" w:rsidRPr="124486BD">
        <w:rPr>
          <w:rFonts w:cs="Arial"/>
        </w:rPr>
        <w:t xml:space="preserve">periodically </w:t>
      </w:r>
      <w:r w:rsidRPr="124486BD">
        <w:rPr>
          <w:rFonts w:cs="Arial"/>
        </w:rPr>
        <w:t xml:space="preserve">reviewing the </w:t>
      </w:r>
      <w:r w:rsidR="00CC528F" w:rsidRPr="124486BD">
        <w:rPr>
          <w:rFonts w:cs="Arial"/>
        </w:rPr>
        <w:t xml:space="preserve">adequacy and relevance of the </w:t>
      </w:r>
      <w:r w:rsidRPr="124486BD">
        <w:rPr>
          <w:rFonts w:cs="Arial"/>
        </w:rPr>
        <w:t xml:space="preserve">personal data </w:t>
      </w:r>
      <w:r w:rsidR="00CC528F" w:rsidRPr="124486BD">
        <w:rPr>
          <w:rFonts w:cs="Arial"/>
        </w:rPr>
        <w:t xml:space="preserve">held the Trust </w:t>
      </w:r>
      <w:r w:rsidR="00EA50D3" w:rsidRPr="124486BD">
        <w:rPr>
          <w:rFonts w:cs="Arial"/>
        </w:rPr>
        <w:t xml:space="preserve">will consider any specific factors that an individual </w:t>
      </w:r>
      <w:r w:rsidR="00DF6C75" w:rsidRPr="124486BD">
        <w:rPr>
          <w:rFonts w:cs="Arial"/>
        </w:rPr>
        <w:t xml:space="preserve">has brought </w:t>
      </w:r>
      <w:r w:rsidR="00EA50D3" w:rsidRPr="124486BD">
        <w:rPr>
          <w:rFonts w:cs="Arial"/>
        </w:rPr>
        <w:t>to its attention – for example, as part of an objection, request for rectification of incomplete data, or request for erasure of unnecessary data.</w:t>
      </w:r>
    </w:p>
    <w:p w14:paraId="4E33A6F6" w14:textId="77777777" w:rsidR="00B323A3" w:rsidRDefault="006B5E9E" w:rsidP="00B323A3">
      <w:pPr>
        <w:numPr>
          <w:ilvl w:val="1"/>
          <w:numId w:val="11"/>
        </w:numPr>
        <w:spacing w:after="240"/>
        <w:jc w:val="both"/>
        <w:rPr>
          <w:rFonts w:cs="Arial"/>
          <w:bCs/>
        </w:rPr>
      </w:pPr>
      <w:r w:rsidRPr="00B323A3">
        <w:rPr>
          <w:rFonts w:cs="Arial"/>
        </w:rPr>
        <w:t>The Trust will minimise the duplication of personal data and records</w:t>
      </w:r>
      <w:r w:rsidR="00466B36" w:rsidRPr="00B323A3">
        <w:rPr>
          <w:rFonts w:cs="Arial"/>
        </w:rPr>
        <w:t xml:space="preserve"> (e.g. across multiple electronic or </w:t>
      </w:r>
      <w:r w:rsidR="00F54598" w:rsidRPr="00B323A3">
        <w:rPr>
          <w:rFonts w:cs="Arial"/>
        </w:rPr>
        <w:t xml:space="preserve">paper-based record keeping systems or </w:t>
      </w:r>
      <w:proofErr w:type="gramStart"/>
      <w:r w:rsidR="00F54598" w:rsidRPr="00B323A3">
        <w:rPr>
          <w:rFonts w:cs="Arial"/>
        </w:rPr>
        <w:t>through the use of</w:t>
      </w:r>
      <w:proofErr w:type="gramEnd"/>
      <w:r w:rsidR="00F54598" w:rsidRPr="00B323A3">
        <w:rPr>
          <w:rFonts w:cs="Arial"/>
        </w:rPr>
        <w:t xml:space="preserve"> ‘convenience copies’ of data or records held outside of </w:t>
      </w:r>
      <w:r w:rsidR="0085054D" w:rsidRPr="00B323A3">
        <w:rPr>
          <w:rFonts w:cs="Arial"/>
        </w:rPr>
        <w:t>primary record keeping systems)</w:t>
      </w:r>
      <w:r w:rsidRPr="00B323A3">
        <w:rPr>
          <w:rFonts w:cs="Arial"/>
        </w:rPr>
        <w:t>.</w:t>
      </w:r>
    </w:p>
    <w:p w14:paraId="0E06B8C7" w14:textId="77777777" w:rsidR="00B323A3" w:rsidRDefault="005B1CD3" w:rsidP="00B323A3">
      <w:pPr>
        <w:numPr>
          <w:ilvl w:val="1"/>
          <w:numId w:val="11"/>
        </w:numPr>
        <w:spacing w:after="240"/>
        <w:jc w:val="both"/>
        <w:rPr>
          <w:rFonts w:cs="Arial"/>
          <w:bCs/>
        </w:rPr>
      </w:pPr>
      <w:r w:rsidRPr="00B323A3">
        <w:rPr>
          <w:rFonts w:cs="Arial"/>
          <w:b/>
        </w:rPr>
        <w:t>Principle 4:</w:t>
      </w:r>
      <w:r w:rsidR="00F75695" w:rsidRPr="00B323A3">
        <w:rPr>
          <w:rFonts w:cs="Arial"/>
          <w:b/>
        </w:rPr>
        <w:t xml:space="preserve"> ‘Accuracy’.</w:t>
      </w:r>
      <w:r w:rsidRPr="00B323A3">
        <w:rPr>
          <w:rFonts w:cs="Arial"/>
        </w:rPr>
        <w:t xml:space="preserve"> </w:t>
      </w:r>
      <w:r w:rsidR="00F75695" w:rsidRPr="00B323A3">
        <w:rPr>
          <w:rFonts w:cs="Arial"/>
          <w:i/>
          <w:iCs/>
        </w:rPr>
        <w:t>Personal data shall be accurate and, where necessary, kept up to date; every reasonable step must be taken to ensure that personal data that are inaccurate, having regard to the purposes for which they are processed, are erased or rectified without delay</w:t>
      </w:r>
      <w:r w:rsidRPr="00B323A3">
        <w:rPr>
          <w:rFonts w:cs="Arial"/>
          <w:i/>
          <w:iCs/>
        </w:rPr>
        <w:t>.</w:t>
      </w:r>
      <w:r w:rsidR="001543A6" w:rsidRPr="00B323A3">
        <w:rPr>
          <w:rFonts w:cs="Arial"/>
          <w:i/>
          <w:iCs/>
        </w:rPr>
        <w:t xml:space="preserve"> </w:t>
      </w:r>
    </w:p>
    <w:p w14:paraId="1E46033A" w14:textId="1DA2EA64" w:rsidR="00F75695" w:rsidRPr="00B323A3" w:rsidRDefault="008D1D87" w:rsidP="00B323A3">
      <w:pPr>
        <w:numPr>
          <w:ilvl w:val="1"/>
          <w:numId w:val="11"/>
        </w:numPr>
        <w:spacing w:after="240"/>
        <w:jc w:val="both"/>
        <w:rPr>
          <w:rFonts w:cs="Arial"/>
          <w:bCs/>
        </w:rPr>
      </w:pPr>
      <w:r w:rsidRPr="00B323A3">
        <w:rPr>
          <w:rFonts w:cs="Arial"/>
          <w:b/>
          <w:bCs/>
        </w:rPr>
        <w:t>The Trust will:</w:t>
      </w:r>
    </w:p>
    <w:p w14:paraId="510230BF" w14:textId="0CE94385" w:rsidR="008D1D87" w:rsidRPr="00305926" w:rsidRDefault="008D1D87" w:rsidP="00305926">
      <w:pPr>
        <w:numPr>
          <w:ilvl w:val="3"/>
          <w:numId w:val="37"/>
        </w:numPr>
        <w:spacing w:after="240"/>
        <w:ind w:left="1701"/>
        <w:jc w:val="both"/>
        <w:rPr>
          <w:rFonts w:cs="Arial"/>
          <w:bCs/>
        </w:rPr>
      </w:pPr>
      <w:r w:rsidRPr="00305926">
        <w:rPr>
          <w:rFonts w:cs="Arial"/>
          <w:bCs/>
        </w:rPr>
        <w:t xml:space="preserve">Take all reasonable steps to ensure the personal data held is not incorrect or misleading as to any matter of </w:t>
      </w:r>
      <w:proofErr w:type="gramStart"/>
      <w:r w:rsidRPr="00305926">
        <w:rPr>
          <w:rFonts w:cs="Arial"/>
          <w:bCs/>
        </w:rPr>
        <w:t>fact</w:t>
      </w:r>
      <w:r w:rsidR="00D749C0" w:rsidRPr="00305926">
        <w:rPr>
          <w:rFonts w:cs="Arial"/>
          <w:bCs/>
        </w:rPr>
        <w:t>;</w:t>
      </w:r>
      <w:proofErr w:type="gramEnd"/>
    </w:p>
    <w:p w14:paraId="5C14F54A" w14:textId="0C406C15" w:rsidR="008D1D87" w:rsidRPr="00305926" w:rsidRDefault="008D1D87" w:rsidP="00305926">
      <w:pPr>
        <w:numPr>
          <w:ilvl w:val="3"/>
          <w:numId w:val="37"/>
        </w:numPr>
        <w:spacing w:after="240"/>
        <w:ind w:left="1701"/>
        <w:jc w:val="both"/>
        <w:rPr>
          <w:rFonts w:cs="Arial"/>
          <w:bCs/>
        </w:rPr>
      </w:pPr>
      <w:r w:rsidRPr="00305926">
        <w:rPr>
          <w:rFonts w:cs="Arial"/>
          <w:bCs/>
        </w:rPr>
        <w:t>Keep personal data updated</w:t>
      </w:r>
      <w:r w:rsidR="00CF48EF" w:rsidRPr="00305926">
        <w:rPr>
          <w:rFonts w:cs="Arial"/>
          <w:bCs/>
        </w:rPr>
        <w:t xml:space="preserve"> where this is necessary and appropriate based on the purposes for which the data is </w:t>
      </w:r>
      <w:proofErr w:type="gramStart"/>
      <w:r w:rsidR="00CF48EF" w:rsidRPr="00305926">
        <w:rPr>
          <w:rFonts w:cs="Arial"/>
          <w:bCs/>
        </w:rPr>
        <w:t>used</w:t>
      </w:r>
      <w:r w:rsidR="00D749C0" w:rsidRPr="00305926">
        <w:rPr>
          <w:rFonts w:cs="Arial"/>
          <w:bCs/>
        </w:rPr>
        <w:t>;</w:t>
      </w:r>
      <w:proofErr w:type="gramEnd"/>
    </w:p>
    <w:p w14:paraId="2B12F2EC" w14:textId="5E4011B3" w:rsidR="008D1D87" w:rsidRPr="00305926" w:rsidRDefault="00D749C0" w:rsidP="00305926">
      <w:pPr>
        <w:numPr>
          <w:ilvl w:val="3"/>
          <w:numId w:val="37"/>
        </w:numPr>
        <w:spacing w:after="240"/>
        <w:ind w:left="1701"/>
        <w:jc w:val="both"/>
        <w:rPr>
          <w:rFonts w:cs="Arial"/>
          <w:bCs/>
        </w:rPr>
      </w:pPr>
      <w:r w:rsidRPr="00305926">
        <w:rPr>
          <w:rFonts w:cs="Arial"/>
          <w:bCs/>
        </w:rPr>
        <w:t>T</w:t>
      </w:r>
      <w:r w:rsidR="008D1D87" w:rsidRPr="00305926">
        <w:rPr>
          <w:rFonts w:cs="Arial"/>
          <w:bCs/>
        </w:rPr>
        <w:t xml:space="preserve">ake reasonable steps to correct or erase </w:t>
      </w:r>
      <w:r w:rsidRPr="00305926">
        <w:rPr>
          <w:rFonts w:cs="Arial"/>
          <w:bCs/>
        </w:rPr>
        <w:t>personal data as soon as possible if this is discovered to be incorrect or misleading; and</w:t>
      </w:r>
    </w:p>
    <w:p w14:paraId="64DD3A83" w14:textId="0BE2BAEA" w:rsidR="008D1D87" w:rsidRPr="00305926" w:rsidRDefault="00D749C0" w:rsidP="3B2B9009">
      <w:pPr>
        <w:numPr>
          <w:ilvl w:val="3"/>
          <w:numId w:val="37"/>
        </w:numPr>
        <w:spacing w:after="240"/>
        <w:ind w:left="1701"/>
        <w:jc w:val="both"/>
        <w:rPr>
          <w:rFonts w:cs="Arial"/>
        </w:rPr>
      </w:pPr>
      <w:r w:rsidRPr="124486BD">
        <w:rPr>
          <w:rFonts w:cs="Arial"/>
        </w:rPr>
        <w:t>C</w:t>
      </w:r>
      <w:r w:rsidR="008D1D87" w:rsidRPr="124486BD">
        <w:rPr>
          <w:rFonts w:cs="Arial"/>
        </w:rPr>
        <w:t>arefully consider any challenges to the accuracy of personal data.</w:t>
      </w:r>
    </w:p>
    <w:p w14:paraId="22B274D5" w14:textId="22B06EE3" w:rsidR="3B2B9009" w:rsidRDefault="3B2B9009" w:rsidP="124486BD">
      <w:pPr>
        <w:spacing w:after="240"/>
        <w:jc w:val="both"/>
        <w:rPr>
          <w:rFonts w:cs="Arial"/>
        </w:rPr>
      </w:pPr>
    </w:p>
    <w:p w14:paraId="5D68ED23" w14:textId="40DFB148" w:rsidR="3B2B9009" w:rsidRDefault="3B2B9009" w:rsidP="3B2B9009">
      <w:pPr>
        <w:spacing w:after="240"/>
        <w:jc w:val="both"/>
        <w:rPr>
          <w:rFonts w:cs="Arial"/>
        </w:rPr>
      </w:pPr>
    </w:p>
    <w:p w14:paraId="5AB46BE5" w14:textId="23C9F180" w:rsidR="00D749C0" w:rsidRPr="00B323A3" w:rsidRDefault="00014548" w:rsidP="00B323A3">
      <w:pPr>
        <w:numPr>
          <w:ilvl w:val="1"/>
          <w:numId w:val="11"/>
        </w:numPr>
        <w:spacing w:after="240"/>
        <w:jc w:val="both"/>
        <w:rPr>
          <w:rFonts w:cs="Arial"/>
          <w:b/>
          <w:bCs/>
        </w:rPr>
      </w:pPr>
      <w:r w:rsidRPr="00B323A3">
        <w:rPr>
          <w:rFonts w:cs="Arial"/>
          <w:b/>
          <w:bCs/>
        </w:rPr>
        <w:t>To support the accuracy of information the Trust will:</w:t>
      </w:r>
    </w:p>
    <w:p w14:paraId="55A2284E" w14:textId="3E30D108" w:rsidR="00E026B5" w:rsidRPr="00305926" w:rsidRDefault="00E026B5" w:rsidP="00305926">
      <w:pPr>
        <w:numPr>
          <w:ilvl w:val="3"/>
          <w:numId w:val="37"/>
        </w:numPr>
        <w:spacing w:after="240"/>
        <w:ind w:left="1701"/>
        <w:jc w:val="both"/>
        <w:rPr>
          <w:rFonts w:cs="Arial"/>
          <w:bCs/>
        </w:rPr>
      </w:pPr>
      <w:r w:rsidRPr="00305926">
        <w:rPr>
          <w:rFonts w:cs="Arial"/>
          <w:bCs/>
        </w:rPr>
        <w:t xml:space="preserve">Accurately record the information </w:t>
      </w:r>
      <w:proofErr w:type="gramStart"/>
      <w:r w:rsidRPr="00305926">
        <w:rPr>
          <w:rFonts w:cs="Arial"/>
          <w:bCs/>
        </w:rPr>
        <w:t>provided;</w:t>
      </w:r>
      <w:proofErr w:type="gramEnd"/>
    </w:p>
    <w:p w14:paraId="48F11DB7" w14:textId="7DFF05DD" w:rsidR="00E026B5" w:rsidRPr="00305926" w:rsidRDefault="00E026B5" w:rsidP="00305926">
      <w:pPr>
        <w:numPr>
          <w:ilvl w:val="3"/>
          <w:numId w:val="37"/>
        </w:numPr>
        <w:spacing w:after="240"/>
        <w:ind w:left="1701"/>
        <w:jc w:val="both"/>
        <w:rPr>
          <w:rFonts w:cs="Arial"/>
          <w:bCs/>
        </w:rPr>
      </w:pPr>
      <w:r w:rsidRPr="00305926">
        <w:rPr>
          <w:rFonts w:cs="Arial"/>
          <w:bCs/>
        </w:rPr>
        <w:t xml:space="preserve">Accurately record the source of the </w:t>
      </w:r>
      <w:proofErr w:type="gramStart"/>
      <w:r w:rsidRPr="00305926">
        <w:rPr>
          <w:rFonts w:cs="Arial"/>
          <w:bCs/>
        </w:rPr>
        <w:t>information;</w:t>
      </w:r>
      <w:proofErr w:type="gramEnd"/>
    </w:p>
    <w:p w14:paraId="650DC61A" w14:textId="5DD80574" w:rsidR="00E026B5" w:rsidRPr="00305926" w:rsidRDefault="00E026B5" w:rsidP="00305926">
      <w:pPr>
        <w:numPr>
          <w:ilvl w:val="3"/>
          <w:numId w:val="37"/>
        </w:numPr>
        <w:spacing w:after="240"/>
        <w:ind w:left="1701"/>
        <w:jc w:val="both"/>
        <w:rPr>
          <w:rFonts w:cs="Arial"/>
          <w:bCs/>
        </w:rPr>
      </w:pPr>
      <w:r w:rsidRPr="00305926">
        <w:rPr>
          <w:rFonts w:cs="Arial"/>
          <w:bCs/>
        </w:rPr>
        <w:t>Take reasonable steps in the circumstances to ensure the accuracy of the information</w:t>
      </w:r>
      <w:r w:rsidR="000323C0" w:rsidRPr="00305926">
        <w:rPr>
          <w:rFonts w:cs="Arial"/>
          <w:bCs/>
        </w:rPr>
        <w:t xml:space="preserve">, for example through the creation of contemporaneous records, </w:t>
      </w:r>
      <w:r w:rsidR="005C244B" w:rsidRPr="00305926">
        <w:rPr>
          <w:rFonts w:cs="Arial"/>
          <w:bCs/>
        </w:rPr>
        <w:t>use</w:t>
      </w:r>
      <w:r w:rsidR="007C462C" w:rsidRPr="00305926">
        <w:rPr>
          <w:rFonts w:cs="Arial"/>
          <w:bCs/>
        </w:rPr>
        <w:t xml:space="preserve"> o</w:t>
      </w:r>
      <w:r w:rsidR="005C244B" w:rsidRPr="00305926">
        <w:rPr>
          <w:rFonts w:cs="Arial"/>
          <w:bCs/>
        </w:rPr>
        <w:t>f</w:t>
      </w:r>
      <w:r w:rsidR="007C462C" w:rsidRPr="00305926">
        <w:rPr>
          <w:rFonts w:cs="Arial"/>
          <w:bCs/>
        </w:rPr>
        <w:t xml:space="preserve"> electronic data transfer interfaces to minimise the risk of transcription errors</w:t>
      </w:r>
      <w:r w:rsidR="005C244B" w:rsidRPr="00305926">
        <w:rPr>
          <w:rFonts w:cs="Arial"/>
          <w:bCs/>
        </w:rPr>
        <w:t xml:space="preserve">, </w:t>
      </w:r>
      <w:r w:rsidR="000323C0" w:rsidRPr="00305926">
        <w:rPr>
          <w:rFonts w:cs="Arial"/>
          <w:bCs/>
        </w:rPr>
        <w:t>the use of validation routines built into data collection or recording processes</w:t>
      </w:r>
      <w:r w:rsidR="005C244B" w:rsidRPr="00305926">
        <w:rPr>
          <w:rFonts w:cs="Arial"/>
          <w:bCs/>
        </w:rPr>
        <w:t xml:space="preserve"> and the use of auditing processes to ensure the effectiveness of the </w:t>
      </w:r>
      <w:proofErr w:type="gramStart"/>
      <w:r w:rsidR="005C244B" w:rsidRPr="00305926">
        <w:rPr>
          <w:rFonts w:cs="Arial"/>
          <w:bCs/>
        </w:rPr>
        <w:t>controls</w:t>
      </w:r>
      <w:r w:rsidRPr="00305926">
        <w:rPr>
          <w:rFonts w:cs="Arial"/>
          <w:bCs/>
        </w:rPr>
        <w:t>;</w:t>
      </w:r>
      <w:proofErr w:type="gramEnd"/>
    </w:p>
    <w:p w14:paraId="5C75BE5E" w14:textId="32117316" w:rsidR="00E026B5" w:rsidRPr="00305926" w:rsidRDefault="00C70AE6" w:rsidP="00305926">
      <w:pPr>
        <w:numPr>
          <w:ilvl w:val="3"/>
          <w:numId w:val="37"/>
        </w:numPr>
        <w:spacing w:after="240"/>
        <w:ind w:left="1701"/>
        <w:jc w:val="both"/>
        <w:rPr>
          <w:rFonts w:cs="Arial"/>
          <w:bCs/>
        </w:rPr>
      </w:pPr>
      <w:r w:rsidRPr="00305926">
        <w:rPr>
          <w:rFonts w:cs="Arial"/>
          <w:bCs/>
        </w:rPr>
        <w:t>C</w:t>
      </w:r>
      <w:r w:rsidR="00E026B5" w:rsidRPr="00305926">
        <w:rPr>
          <w:rFonts w:cs="Arial"/>
          <w:bCs/>
        </w:rPr>
        <w:t>arefully consider any challenges to the accuracy of the information</w:t>
      </w:r>
      <w:r w:rsidRPr="00305926">
        <w:rPr>
          <w:rFonts w:cs="Arial"/>
          <w:bCs/>
        </w:rPr>
        <w:t>; and</w:t>
      </w:r>
    </w:p>
    <w:p w14:paraId="321DEDAE" w14:textId="63B0050F" w:rsidR="00014548" w:rsidRPr="00305926" w:rsidRDefault="00C70AE6" w:rsidP="00305926">
      <w:pPr>
        <w:numPr>
          <w:ilvl w:val="3"/>
          <w:numId w:val="37"/>
        </w:numPr>
        <w:spacing w:after="240"/>
        <w:ind w:left="1701"/>
        <w:jc w:val="both"/>
        <w:rPr>
          <w:rFonts w:cs="Arial"/>
          <w:bCs/>
        </w:rPr>
      </w:pPr>
      <w:r w:rsidRPr="00305926">
        <w:rPr>
          <w:rFonts w:cs="Arial"/>
          <w:bCs/>
        </w:rPr>
        <w:t>C</w:t>
      </w:r>
      <w:r w:rsidR="00014548" w:rsidRPr="00305926">
        <w:rPr>
          <w:rFonts w:cs="Arial"/>
          <w:bCs/>
        </w:rPr>
        <w:t>onsider whether it is necessary to periodically update the information.</w:t>
      </w:r>
    </w:p>
    <w:p w14:paraId="6E6C266A" w14:textId="77777777" w:rsidR="00B323A3" w:rsidRDefault="005B1CD3" w:rsidP="00B323A3">
      <w:pPr>
        <w:numPr>
          <w:ilvl w:val="1"/>
          <w:numId w:val="11"/>
        </w:numPr>
        <w:spacing w:after="240"/>
        <w:jc w:val="both"/>
        <w:rPr>
          <w:rFonts w:cs="Arial"/>
        </w:rPr>
      </w:pPr>
      <w:r w:rsidRPr="001420E2">
        <w:rPr>
          <w:rFonts w:cs="Arial"/>
          <w:b/>
        </w:rPr>
        <w:t>Principle 5:</w:t>
      </w:r>
      <w:r w:rsidR="00CE1975">
        <w:rPr>
          <w:rFonts w:cs="Arial"/>
          <w:b/>
        </w:rPr>
        <w:t xml:space="preserve"> ‘Storage Limitation’.</w:t>
      </w:r>
      <w:r w:rsidRPr="001543A6">
        <w:rPr>
          <w:rFonts w:cs="Arial"/>
        </w:rPr>
        <w:t xml:space="preserve"> </w:t>
      </w:r>
      <w:r w:rsidRPr="00CE1975">
        <w:rPr>
          <w:rFonts w:cs="Arial"/>
          <w:i/>
          <w:iCs/>
        </w:rPr>
        <w:t xml:space="preserve">Personal data </w:t>
      </w:r>
      <w:r w:rsidR="00CE1975" w:rsidRPr="00CE1975">
        <w:rPr>
          <w:rFonts w:cs="Arial"/>
          <w:i/>
          <w:iCs/>
        </w:rPr>
        <w:t xml:space="preserve">shall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w:t>
      </w:r>
      <w:r w:rsidR="00131080">
        <w:rPr>
          <w:rFonts w:cs="Arial"/>
          <w:i/>
          <w:iCs/>
        </w:rPr>
        <w:t xml:space="preserve">UK </w:t>
      </w:r>
      <w:r w:rsidR="00CE1975" w:rsidRPr="00CE1975">
        <w:rPr>
          <w:rFonts w:cs="Arial"/>
          <w:i/>
          <w:iCs/>
        </w:rPr>
        <w:t>GDPR in order to safeguard the rights and freedoms of individuals</w:t>
      </w:r>
      <w:r w:rsidRPr="00CE1975">
        <w:rPr>
          <w:rFonts w:cs="Arial"/>
          <w:i/>
          <w:iCs/>
        </w:rPr>
        <w:t>.</w:t>
      </w:r>
      <w:r w:rsidR="001543A6">
        <w:rPr>
          <w:rFonts w:cs="Arial"/>
        </w:rPr>
        <w:t xml:space="preserve"> </w:t>
      </w:r>
    </w:p>
    <w:p w14:paraId="71D2E6A7" w14:textId="297AFDED" w:rsidR="00CE1975" w:rsidRPr="00B323A3" w:rsidRDefault="00B13C1D" w:rsidP="00B323A3">
      <w:pPr>
        <w:numPr>
          <w:ilvl w:val="1"/>
          <w:numId w:val="11"/>
        </w:numPr>
        <w:spacing w:after="240"/>
        <w:jc w:val="both"/>
        <w:rPr>
          <w:rFonts w:cs="Arial"/>
        </w:rPr>
      </w:pPr>
      <w:r w:rsidRPr="00B323A3">
        <w:rPr>
          <w:rFonts w:cs="Arial"/>
        </w:rPr>
        <w:t>The Trust will:</w:t>
      </w:r>
    </w:p>
    <w:p w14:paraId="59E5E2F9" w14:textId="38B14A2A" w:rsidR="005F03A4" w:rsidRPr="00305926" w:rsidRDefault="005F03A4" w:rsidP="00305926">
      <w:pPr>
        <w:numPr>
          <w:ilvl w:val="3"/>
          <w:numId w:val="37"/>
        </w:numPr>
        <w:spacing w:after="240"/>
        <w:ind w:left="1701"/>
        <w:jc w:val="both"/>
        <w:rPr>
          <w:rFonts w:cs="Arial"/>
          <w:bCs/>
        </w:rPr>
      </w:pPr>
      <w:r w:rsidRPr="00305926">
        <w:rPr>
          <w:rFonts w:cs="Arial"/>
          <w:bCs/>
        </w:rPr>
        <w:t xml:space="preserve">Maintain a record of the personal data it holds and why it is </w:t>
      </w:r>
      <w:proofErr w:type="gramStart"/>
      <w:r w:rsidRPr="00305926">
        <w:rPr>
          <w:rFonts w:cs="Arial"/>
          <w:bCs/>
        </w:rPr>
        <w:t>needed;</w:t>
      </w:r>
      <w:proofErr w:type="gramEnd"/>
    </w:p>
    <w:p w14:paraId="5D865F82" w14:textId="7A5C2C07" w:rsidR="005F03A4" w:rsidRPr="00305926" w:rsidRDefault="005F03A4" w:rsidP="00305926">
      <w:pPr>
        <w:numPr>
          <w:ilvl w:val="3"/>
          <w:numId w:val="37"/>
        </w:numPr>
        <w:spacing w:after="240"/>
        <w:ind w:left="1701"/>
        <w:jc w:val="both"/>
        <w:rPr>
          <w:rFonts w:cs="Arial"/>
          <w:bCs/>
        </w:rPr>
      </w:pPr>
      <w:r w:rsidRPr="00305926">
        <w:rPr>
          <w:rFonts w:cs="Arial"/>
          <w:bCs/>
        </w:rPr>
        <w:t xml:space="preserve">Carefully consider and justify how long personal data needs to be retained which take account of the purposes for which the personal data is being </w:t>
      </w:r>
      <w:proofErr w:type="gramStart"/>
      <w:r w:rsidRPr="00305926">
        <w:rPr>
          <w:rFonts w:cs="Arial"/>
          <w:bCs/>
        </w:rPr>
        <w:t>processed;</w:t>
      </w:r>
      <w:proofErr w:type="gramEnd"/>
    </w:p>
    <w:p w14:paraId="7AEDF74B" w14:textId="6F065775" w:rsidR="00B130AB" w:rsidRPr="00305926" w:rsidRDefault="00B77E13" w:rsidP="370CF465">
      <w:pPr>
        <w:numPr>
          <w:ilvl w:val="3"/>
          <w:numId w:val="37"/>
        </w:numPr>
        <w:spacing w:after="240"/>
        <w:ind w:left="1701"/>
        <w:jc w:val="both"/>
        <w:rPr>
          <w:rFonts w:cs="Arial"/>
        </w:rPr>
      </w:pPr>
      <w:r w:rsidRPr="124486BD">
        <w:rPr>
          <w:rFonts w:cs="Arial"/>
        </w:rPr>
        <w:t>Take account of the NHS</w:t>
      </w:r>
      <w:r w:rsidR="69D9FCCB" w:rsidRPr="124486BD">
        <w:rPr>
          <w:rFonts w:cs="Arial"/>
        </w:rPr>
        <w:t>E</w:t>
      </w:r>
      <w:r w:rsidRPr="124486BD">
        <w:rPr>
          <w:rFonts w:cs="Arial"/>
        </w:rPr>
        <w:t xml:space="preserve"> Records Management Code of Practice </w:t>
      </w:r>
      <w:r w:rsidR="00131080" w:rsidRPr="124486BD">
        <w:rPr>
          <w:rFonts w:cs="Arial"/>
        </w:rPr>
        <w:t>202</w:t>
      </w:r>
      <w:r w:rsidR="0582FF24" w:rsidRPr="124486BD">
        <w:rPr>
          <w:rFonts w:cs="Arial"/>
        </w:rPr>
        <w:t>3</w:t>
      </w:r>
      <w:r w:rsidR="00131080" w:rsidRPr="124486BD">
        <w:rPr>
          <w:rFonts w:cs="Arial"/>
        </w:rPr>
        <w:t xml:space="preserve"> </w:t>
      </w:r>
      <w:r w:rsidRPr="124486BD">
        <w:rPr>
          <w:rFonts w:cs="Arial"/>
        </w:rPr>
        <w:t xml:space="preserve">when setting retention periods and adopt the standard retention periods this sets wherever </w:t>
      </w:r>
      <w:proofErr w:type="gramStart"/>
      <w:r w:rsidRPr="124486BD">
        <w:rPr>
          <w:rFonts w:cs="Arial"/>
        </w:rPr>
        <w:t>possible;</w:t>
      </w:r>
      <w:proofErr w:type="gramEnd"/>
    </w:p>
    <w:p w14:paraId="1A4F09CA" w14:textId="30A3EC2B" w:rsidR="00B13C1D" w:rsidRPr="00305926" w:rsidRDefault="00B13C1D" w:rsidP="00305926">
      <w:pPr>
        <w:numPr>
          <w:ilvl w:val="3"/>
          <w:numId w:val="37"/>
        </w:numPr>
        <w:spacing w:after="240"/>
        <w:ind w:left="1701"/>
        <w:jc w:val="both"/>
        <w:rPr>
          <w:rFonts w:cs="Arial"/>
          <w:bCs/>
        </w:rPr>
      </w:pPr>
      <w:r w:rsidRPr="00305926">
        <w:rPr>
          <w:rFonts w:cs="Arial"/>
          <w:bCs/>
        </w:rPr>
        <w:t xml:space="preserve">Not keep personal data for longer than </w:t>
      </w:r>
      <w:r w:rsidR="00131080" w:rsidRPr="00305926">
        <w:rPr>
          <w:rFonts w:cs="Arial"/>
          <w:bCs/>
        </w:rPr>
        <w:t>required.</w:t>
      </w:r>
    </w:p>
    <w:p w14:paraId="4EA5A7A9" w14:textId="4A854ABF" w:rsidR="00B13C1D" w:rsidRPr="00305926" w:rsidRDefault="00564F53" w:rsidP="00305926">
      <w:pPr>
        <w:numPr>
          <w:ilvl w:val="3"/>
          <w:numId w:val="37"/>
        </w:numPr>
        <w:spacing w:after="240"/>
        <w:ind w:left="1701"/>
        <w:jc w:val="both"/>
        <w:rPr>
          <w:rFonts w:cs="Arial"/>
          <w:bCs/>
        </w:rPr>
      </w:pPr>
      <w:r w:rsidRPr="00305926">
        <w:rPr>
          <w:rFonts w:cs="Arial"/>
          <w:bCs/>
        </w:rPr>
        <w:t>P</w:t>
      </w:r>
      <w:r w:rsidR="00B13C1D" w:rsidRPr="00305926">
        <w:rPr>
          <w:rFonts w:cs="Arial"/>
          <w:bCs/>
        </w:rPr>
        <w:t>eriodically review the data h</w:t>
      </w:r>
      <w:r w:rsidRPr="00305926">
        <w:rPr>
          <w:rFonts w:cs="Arial"/>
          <w:bCs/>
        </w:rPr>
        <w:t>e</w:t>
      </w:r>
      <w:r w:rsidR="00B13C1D" w:rsidRPr="00305926">
        <w:rPr>
          <w:rFonts w:cs="Arial"/>
          <w:bCs/>
        </w:rPr>
        <w:t xml:space="preserve">ld and erase or anonymise it when </w:t>
      </w:r>
      <w:r w:rsidRPr="00305926">
        <w:rPr>
          <w:rFonts w:cs="Arial"/>
          <w:bCs/>
        </w:rPr>
        <w:t>it is n</w:t>
      </w:r>
      <w:r w:rsidR="00B13C1D" w:rsidRPr="00305926">
        <w:rPr>
          <w:rFonts w:cs="Arial"/>
          <w:bCs/>
        </w:rPr>
        <w:t xml:space="preserve">o longer </w:t>
      </w:r>
      <w:proofErr w:type="gramStart"/>
      <w:r w:rsidR="00B13C1D" w:rsidRPr="00305926">
        <w:rPr>
          <w:rFonts w:cs="Arial"/>
          <w:bCs/>
        </w:rPr>
        <w:t>need</w:t>
      </w:r>
      <w:r w:rsidRPr="00305926">
        <w:rPr>
          <w:rFonts w:cs="Arial"/>
          <w:bCs/>
        </w:rPr>
        <w:t>ed</w:t>
      </w:r>
      <w:r w:rsidR="00900F54" w:rsidRPr="00305926">
        <w:rPr>
          <w:rFonts w:cs="Arial"/>
          <w:bCs/>
        </w:rPr>
        <w:t>;</w:t>
      </w:r>
      <w:proofErr w:type="gramEnd"/>
    </w:p>
    <w:p w14:paraId="441DE053" w14:textId="02383E0A" w:rsidR="00B13C1D" w:rsidRPr="00305926" w:rsidRDefault="00900F54" w:rsidP="00305926">
      <w:pPr>
        <w:numPr>
          <w:ilvl w:val="3"/>
          <w:numId w:val="37"/>
        </w:numPr>
        <w:spacing w:after="240"/>
        <w:ind w:left="1701"/>
        <w:jc w:val="both"/>
        <w:rPr>
          <w:rFonts w:cs="Arial"/>
          <w:bCs/>
        </w:rPr>
      </w:pPr>
      <w:r w:rsidRPr="00305926">
        <w:rPr>
          <w:rFonts w:cs="Arial"/>
          <w:bCs/>
        </w:rPr>
        <w:t>C</w:t>
      </w:r>
      <w:r w:rsidR="00B13C1D" w:rsidRPr="00305926">
        <w:rPr>
          <w:rFonts w:cs="Arial"/>
          <w:bCs/>
        </w:rPr>
        <w:t xml:space="preserve">arefully consider any challenges to </w:t>
      </w:r>
      <w:r w:rsidRPr="00305926">
        <w:rPr>
          <w:rFonts w:cs="Arial"/>
          <w:bCs/>
        </w:rPr>
        <w:t>the</w:t>
      </w:r>
      <w:r w:rsidR="00B13C1D" w:rsidRPr="00305926">
        <w:rPr>
          <w:rFonts w:cs="Arial"/>
          <w:bCs/>
        </w:rPr>
        <w:t xml:space="preserve"> retention of data</w:t>
      </w:r>
      <w:r w:rsidR="00005D56" w:rsidRPr="00305926">
        <w:rPr>
          <w:rFonts w:cs="Arial"/>
          <w:bCs/>
        </w:rPr>
        <w:t xml:space="preserve"> and maintain appropriate processes to comply with individuals’ requests for erasure under ‘the right to be forgotten’</w:t>
      </w:r>
      <w:r w:rsidR="00DD1C36" w:rsidRPr="00305926">
        <w:rPr>
          <w:rFonts w:cs="Arial"/>
          <w:bCs/>
        </w:rPr>
        <w:t>; and</w:t>
      </w:r>
    </w:p>
    <w:p w14:paraId="14B562CF" w14:textId="6BE66FC6" w:rsidR="00DD1C36" w:rsidRPr="00305926" w:rsidRDefault="00DD1C36" w:rsidP="00305926">
      <w:pPr>
        <w:numPr>
          <w:ilvl w:val="3"/>
          <w:numId w:val="37"/>
        </w:numPr>
        <w:spacing w:after="240"/>
        <w:ind w:left="1701"/>
        <w:jc w:val="both"/>
        <w:rPr>
          <w:rFonts w:cs="Arial"/>
          <w:bCs/>
        </w:rPr>
      </w:pPr>
      <w:r w:rsidRPr="00305926">
        <w:rPr>
          <w:rFonts w:cs="Arial"/>
          <w:bCs/>
        </w:rPr>
        <w:t xml:space="preserve">Clearly identify any personal data that needs to be keep for public interest archiving, scientific or historical research, or statistical purposes and ensure this is </w:t>
      </w:r>
      <w:r w:rsidR="00D926A3" w:rsidRPr="00305926">
        <w:rPr>
          <w:rFonts w:cs="Arial"/>
          <w:bCs/>
        </w:rPr>
        <w:t>retained subject to appropriate safeguards</w:t>
      </w:r>
      <w:r w:rsidRPr="00305926">
        <w:rPr>
          <w:rFonts w:cs="Arial"/>
          <w:bCs/>
        </w:rPr>
        <w:t>.</w:t>
      </w:r>
    </w:p>
    <w:p w14:paraId="4DDF54D2" w14:textId="77777777" w:rsidR="00B323A3" w:rsidRDefault="00B13C1D" w:rsidP="00B323A3">
      <w:pPr>
        <w:numPr>
          <w:ilvl w:val="1"/>
          <w:numId w:val="11"/>
        </w:numPr>
        <w:spacing w:after="240"/>
        <w:jc w:val="both"/>
        <w:rPr>
          <w:rFonts w:cs="Arial"/>
        </w:rPr>
      </w:pPr>
      <w:r w:rsidRPr="00B13C1D">
        <w:rPr>
          <w:rFonts w:cs="Arial"/>
        </w:rPr>
        <w:t>You can keep personal data for longer if you are only keeping it for public interest archiving, scientific or historical research, or statistical purposes.</w:t>
      </w:r>
    </w:p>
    <w:p w14:paraId="596C69DC" w14:textId="70ECF77C" w:rsidR="00070765" w:rsidRPr="00B323A3" w:rsidRDefault="00BD6758" w:rsidP="00B323A3">
      <w:pPr>
        <w:numPr>
          <w:ilvl w:val="1"/>
          <w:numId w:val="11"/>
        </w:numPr>
        <w:spacing w:after="240"/>
        <w:jc w:val="both"/>
        <w:rPr>
          <w:rFonts w:cs="Arial"/>
        </w:rPr>
      </w:pPr>
      <w:r w:rsidRPr="00B323A3">
        <w:rPr>
          <w:rFonts w:cs="Arial"/>
        </w:rPr>
        <w:t xml:space="preserve">Holding more personal data than needed is inefficient and there may be unnecessary costs associated with storage and security.  </w:t>
      </w:r>
      <w:r w:rsidR="00070765" w:rsidRPr="00B323A3">
        <w:rPr>
          <w:rFonts w:cs="Arial"/>
        </w:rPr>
        <w:t xml:space="preserve">Ensuring that personal data is erased or anonymised when it is no longer needed will </w:t>
      </w:r>
      <w:r w:rsidR="006010A8" w:rsidRPr="00B323A3">
        <w:rPr>
          <w:rFonts w:cs="Arial"/>
        </w:rPr>
        <w:t xml:space="preserve">also </w:t>
      </w:r>
      <w:r w:rsidR="00070765" w:rsidRPr="00B323A3">
        <w:rPr>
          <w:rFonts w:cs="Arial"/>
        </w:rPr>
        <w:t xml:space="preserve">reduce the risk that it becomes irrelevant, excessive, inaccurate, or out of date. </w:t>
      </w:r>
      <w:r w:rsidR="006010A8" w:rsidRPr="00B323A3">
        <w:rPr>
          <w:rFonts w:cs="Arial"/>
        </w:rPr>
        <w:t xml:space="preserve"> </w:t>
      </w:r>
      <w:r w:rsidR="00070765" w:rsidRPr="00B323A3">
        <w:rPr>
          <w:rFonts w:cs="Arial"/>
        </w:rPr>
        <w:t>It will help the Trust to comply with the data minimisation and accuracy principles and reduce the risk that you will use such data in error to the detriment of all concerned</w:t>
      </w:r>
      <w:r w:rsidR="00F42BCF" w:rsidRPr="00B323A3">
        <w:rPr>
          <w:rFonts w:cs="Arial"/>
        </w:rPr>
        <w:t xml:space="preserve"> as well as reducing the burden of dealing with request for information (</w:t>
      </w:r>
      <w:r w:rsidR="00305926" w:rsidRPr="00B323A3">
        <w:rPr>
          <w:rFonts w:cs="Arial"/>
        </w:rPr>
        <w:t>e.g.,</w:t>
      </w:r>
      <w:r w:rsidR="00F42BCF" w:rsidRPr="00B323A3">
        <w:rPr>
          <w:rFonts w:cs="Arial"/>
        </w:rPr>
        <w:t xml:space="preserve"> by data subjects as part of a </w:t>
      </w:r>
      <w:r w:rsidR="002B6F00" w:rsidRPr="00B323A3">
        <w:rPr>
          <w:rFonts w:cs="Arial"/>
        </w:rPr>
        <w:t xml:space="preserve">Data </w:t>
      </w:r>
      <w:r w:rsidR="00F42BCF" w:rsidRPr="00B323A3">
        <w:rPr>
          <w:rFonts w:cs="Arial"/>
        </w:rPr>
        <w:t>Subject Access Request or under Freedom of Information), queries about retention and individual requests for erasure.</w:t>
      </w:r>
    </w:p>
    <w:p w14:paraId="2FC6D56C" w14:textId="77777777" w:rsidR="00B323A3" w:rsidRDefault="005B1CD3" w:rsidP="00B323A3">
      <w:pPr>
        <w:numPr>
          <w:ilvl w:val="1"/>
          <w:numId w:val="11"/>
        </w:numPr>
        <w:spacing w:after="240"/>
        <w:jc w:val="both"/>
        <w:rPr>
          <w:rFonts w:cs="Arial"/>
        </w:rPr>
      </w:pPr>
      <w:r w:rsidRPr="18BB3A9C">
        <w:rPr>
          <w:rFonts w:cs="Arial"/>
          <w:b/>
          <w:bCs/>
        </w:rPr>
        <w:t>Principle 6:</w:t>
      </w:r>
      <w:r w:rsidR="0085054D" w:rsidRPr="18BB3A9C">
        <w:rPr>
          <w:rFonts w:cs="Arial"/>
          <w:b/>
          <w:bCs/>
        </w:rPr>
        <w:t xml:space="preserve"> ‘Integrity and Confidentiality’</w:t>
      </w:r>
      <w:r w:rsidR="00E30C77" w:rsidRPr="18BB3A9C">
        <w:rPr>
          <w:rFonts w:cs="Arial"/>
          <w:b/>
          <w:bCs/>
        </w:rPr>
        <w:t xml:space="preserve"> (Security).</w:t>
      </w:r>
      <w:r w:rsidRPr="18BB3A9C">
        <w:rPr>
          <w:rFonts w:cs="Arial"/>
        </w:rPr>
        <w:t xml:space="preserve"> Personal data shall be processed </w:t>
      </w:r>
      <w:r w:rsidR="00E96741" w:rsidRPr="18BB3A9C">
        <w:rPr>
          <w:rFonts w:cs="Arial"/>
        </w:rPr>
        <w:t>in a manner that ensures appropriate security of the personal data, including protection against unauthorised or unlawful processing and against accidental loss, destruction or damage, using appropriate technical or organisational measures</w:t>
      </w:r>
      <w:r w:rsidRPr="18BB3A9C">
        <w:rPr>
          <w:rFonts w:cs="Arial"/>
        </w:rPr>
        <w:t>.</w:t>
      </w:r>
      <w:r w:rsidR="001543A6" w:rsidRPr="18BB3A9C">
        <w:rPr>
          <w:rFonts w:cs="Arial"/>
        </w:rPr>
        <w:t xml:space="preserve"> </w:t>
      </w:r>
    </w:p>
    <w:p w14:paraId="2ACA769D" w14:textId="7D2088F8" w:rsidR="52C522F5" w:rsidRDefault="52C522F5" w:rsidP="124486BD">
      <w:pPr>
        <w:numPr>
          <w:ilvl w:val="1"/>
          <w:numId w:val="11"/>
        </w:numPr>
        <w:spacing w:after="240"/>
        <w:jc w:val="both"/>
        <w:rPr>
          <w:rFonts w:cs="Arial"/>
          <w:color w:val="4F81BD" w:themeColor="accent1"/>
        </w:rPr>
      </w:pPr>
      <w:r w:rsidRPr="124486BD">
        <w:rPr>
          <w:rFonts w:cs="Arial"/>
        </w:rPr>
        <w:t xml:space="preserve">Where appropriate, enable access to </w:t>
      </w:r>
      <w:r w:rsidR="33C3B5BC" w:rsidRPr="124486BD">
        <w:rPr>
          <w:rFonts w:cs="Arial"/>
        </w:rPr>
        <w:t>data through</w:t>
      </w:r>
      <w:r w:rsidRPr="124486BD">
        <w:rPr>
          <w:rFonts w:cs="Arial"/>
        </w:rPr>
        <w:t xml:space="preserve"> secure access mechanisms</w:t>
      </w:r>
      <w:r w:rsidR="56B16B94" w:rsidRPr="124486BD">
        <w:rPr>
          <w:rFonts w:cs="Arial"/>
        </w:rPr>
        <w:t>, including trusted or controlled enviro</w:t>
      </w:r>
      <w:r w:rsidR="527DF902" w:rsidRPr="124486BD">
        <w:rPr>
          <w:rFonts w:cs="Arial"/>
        </w:rPr>
        <w:t>n</w:t>
      </w:r>
      <w:r w:rsidR="56B16B94" w:rsidRPr="124486BD">
        <w:rPr>
          <w:rFonts w:cs="Arial"/>
        </w:rPr>
        <w:t>ments</w:t>
      </w:r>
      <w:r w:rsidR="7E361D8D" w:rsidRPr="124486BD">
        <w:rPr>
          <w:rFonts w:cs="Arial"/>
        </w:rPr>
        <w:t>.</w:t>
      </w:r>
    </w:p>
    <w:p w14:paraId="34C61CC0" w14:textId="18FFFE2D" w:rsidR="000022FE" w:rsidRPr="00B323A3" w:rsidRDefault="000022FE" w:rsidP="00B323A3">
      <w:pPr>
        <w:numPr>
          <w:ilvl w:val="1"/>
          <w:numId w:val="11"/>
        </w:numPr>
        <w:spacing w:after="240"/>
        <w:jc w:val="both"/>
        <w:rPr>
          <w:rFonts w:cs="Arial"/>
        </w:rPr>
      </w:pPr>
      <w:r w:rsidRPr="00B323A3">
        <w:rPr>
          <w:rFonts w:cs="Arial"/>
          <w:b/>
          <w:bCs/>
        </w:rPr>
        <w:t>The Trust will:</w:t>
      </w:r>
    </w:p>
    <w:p w14:paraId="7B486662" w14:textId="1BA7E898" w:rsidR="00606870" w:rsidRPr="00305926" w:rsidRDefault="00456DF3" w:rsidP="00305926">
      <w:pPr>
        <w:numPr>
          <w:ilvl w:val="3"/>
          <w:numId w:val="37"/>
        </w:numPr>
        <w:spacing w:after="240"/>
        <w:ind w:left="1701"/>
        <w:jc w:val="both"/>
        <w:rPr>
          <w:rFonts w:cs="Arial"/>
          <w:bCs/>
        </w:rPr>
      </w:pPr>
      <w:r w:rsidRPr="00305926">
        <w:rPr>
          <w:rFonts w:cs="Arial"/>
          <w:bCs/>
        </w:rPr>
        <w:t>P</w:t>
      </w:r>
      <w:r w:rsidR="00606870" w:rsidRPr="00305926">
        <w:rPr>
          <w:rFonts w:cs="Arial"/>
          <w:bCs/>
        </w:rPr>
        <w:t xml:space="preserve">rocess personal data securely by </w:t>
      </w:r>
      <w:r w:rsidRPr="00305926">
        <w:rPr>
          <w:rFonts w:cs="Arial"/>
          <w:bCs/>
        </w:rPr>
        <w:t xml:space="preserve">implementing </w:t>
      </w:r>
      <w:r w:rsidR="00606870" w:rsidRPr="00305926">
        <w:rPr>
          <w:rFonts w:cs="Arial"/>
          <w:bCs/>
        </w:rPr>
        <w:t>appropriate technical and organisational measures</w:t>
      </w:r>
      <w:r w:rsidR="00125B74" w:rsidRPr="00305926">
        <w:rPr>
          <w:rFonts w:cs="Arial"/>
          <w:bCs/>
        </w:rPr>
        <w:t xml:space="preserve"> which ensure the confidentiality, integrity and availability </w:t>
      </w:r>
      <w:r w:rsidR="002B6F00" w:rsidRPr="00305926">
        <w:rPr>
          <w:rFonts w:cs="Arial"/>
          <w:bCs/>
        </w:rPr>
        <w:t>of</w:t>
      </w:r>
      <w:r w:rsidR="00125B74" w:rsidRPr="00305926">
        <w:rPr>
          <w:rFonts w:cs="Arial"/>
          <w:bCs/>
        </w:rPr>
        <w:t xml:space="preserve"> the personal data it </w:t>
      </w:r>
      <w:proofErr w:type="gramStart"/>
      <w:r w:rsidR="00125B74" w:rsidRPr="00305926">
        <w:rPr>
          <w:rFonts w:cs="Arial"/>
          <w:bCs/>
        </w:rPr>
        <w:t>processes</w:t>
      </w:r>
      <w:r w:rsidR="003117D4" w:rsidRPr="00305926">
        <w:rPr>
          <w:rFonts w:cs="Arial"/>
          <w:bCs/>
        </w:rPr>
        <w:t>;</w:t>
      </w:r>
      <w:proofErr w:type="gramEnd"/>
    </w:p>
    <w:p w14:paraId="1CEEADBF" w14:textId="509447BB" w:rsidR="00A91011" w:rsidRPr="00305926" w:rsidRDefault="00552B2B" w:rsidP="00305926">
      <w:pPr>
        <w:numPr>
          <w:ilvl w:val="3"/>
          <w:numId w:val="37"/>
        </w:numPr>
        <w:spacing w:after="240"/>
        <w:ind w:left="1701"/>
        <w:jc w:val="both"/>
        <w:rPr>
          <w:rFonts w:cs="Arial"/>
          <w:bCs/>
        </w:rPr>
      </w:pPr>
      <w:r w:rsidRPr="00305926">
        <w:rPr>
          <w:rFonts w:cs="Arial"/>
          <w:bCs/>
        </w:rPr>
        <w:t>Adopt a data protection b</w:t>
      </w:r>
      <w:r w:rsidR="003A51B0" w:rsidRPr="00305926">
        <w:rPr>
          <w:rFonts w:cs="Arial"/>
          <w:bCs/>
        </w:rPr>
        <w:t xml:space="preserve">y design and by </w:t>
      </w:r>
      <w:r w:rsidRPr="00305926">
        <w:rPr>
          <w:rFonts w:cs="Arial"/>
          <w:bCs/>
        </w:rPr>
        <w:t xml:space="preserve">default approach </w:t>
      </w:r>
      <w:r w:rsidR="00814DED" w:rsidRPr="00305926">
        <w:rPr>
          <w:rFonts w:cs="Arial"/>
          <w:bCs/>
        </w:rPr>
        <w:t xml:space="preserve">to all data processing activities and </w:t>
      </w:r>
      <w:r w:rsidR="00053D43" w:rsidRPr="00305926">
        <w:rPr>
          <w:rFonts w:cs="Arial"/>
          <w:bCs/>
        </w:rPr>
        <w:t>u</w:t>
      </w:r>
      <w:r w:rsidR="00A91011" w:rsidRPr="00305926">
        <w:rPr>
          <w:rFonts w:cs="Arial"/>
          <w:bCs/>
        </w:rPr>
        <w:t xml:space="preserve">ndertake an analysis of the risks presented by processing to assess the appropriate level of security we need to put in </w:t>
      </w:r>
      <w:proofErr w:type="gramStart"/>
      <w:r w:rsidR="00A91011" w:rsidRPr="00305926">
        <w:rPr>
          <w:rFonts w:cs="Arial"/>
          <w:bCs/>
        </w:rPr>
        <w:t>place</w:t>
      </w:r>
      <w:r w:rsidR="00370DED" w:rsidRPr="00305926">
        <w:rPr>
          <w:rFonts w:cs="Arial"/>
          <w:bCs/>
        </w:rPr>
        <w:t>;</w:t>
      </w:r>
      <w:proofErr w:type="gramEnd"/>
    </w:p>
    <w:p w14:paraId="1CDD1F0D" w14:textId="5BDF998B" w:rsidR="00A91011" w:rsidRPr="00305926" w:rsidRDefault="001571E3" w:rsidP="00305926">
      <w:pPr>
        <w:numPr>
          <w:ilvl w:val="3"/>
          <w:numId w:val="37"/>
        </w:numPr>
        <w:spacing w:after="240"/>
        <w:ind w:left="1701"/>
        <w:jc w:val="both"/>
        <w:rPr>
          <w:rFonts w:cs="Arial"/>
          <w:bCs/>
        </w:rPr>
      </w:pPr>
      <w:r w:rsidRPr="00305926">
        <w:rPr>
          <w:rFonts w:cs="Arial"/>
          <w:bCs/>
        </w:rPr>
        <w:t>T</w:t>
      </w:r>
      <w:r w:rsidR="00A91011" w:rsidRPr="00305926">
        <w:rPr>
          <w:rFonts w:cs="Arial"/>
          <w:bCs/>
        </w:rPr>
        <w:t>ake account of the state of the art and costs of implementation</w:t>
      </w:r>
      <w:r w:rsidRPr="00305926">
        <w:rPr>
          <w:rFonts w:cs="Arial"/>
          <w:bCs/>
        </w:rPr>
        <w:t xml:space="preserve"> when deciding what measures to </w:t>
      </w:r>
      <w:proofErr w:type="gramStart"/>
      <w:r w:rsidRPr="00305926">
        <w:rPr>
          <w:rFonts w:cs="Arial"/>
          <w:bCs/>
        </w:rPr>
        <w:t>implement;</w:t>
      </w:r>
      <w:proofErr w:type="gramEnd"/>
    </w:p>
    <w:p w14:paraId="2B0047DC" w14:textId="6987D9D1" w:rsidR="00A91011" w:rsidRPr="00305926" w:rsidRDefault="001571E3" w:rsidP="00305926">
      <w:pPr>
        <w:numPr>
          <w:ilvl w:val="3"/>
          <w:numId w:val="37"/>
        </w:numPr>
        <w:spacing w:after="240"/>
        <w:ind w:left="1701"/>
        <w:jc w:val="both"/>
        <w:rPr>
          <w:rFonts w:cs="Arial"/>
          <w:bCs/>
        </w:rPr>
      </w:pPr>
      <w:r w:rsidRPr="00305926">
        <w:rPr>
          <w:rFonts w:cs="Arial"/>
          <w:bCs/>
        </w:rPr>
        <w:t xml:space="preserve">Maintain </w:t>
      </w:r>
      <w:r w:rsidR="00E64A3D" w:rsidRPr="00305926">
        <w:rPr>
          <w:rFonts w:cs="Arial"/>
          <w:bCs/>
        </w:rPr>
        <w:t xml:space="preserve">policies and procedures which ensure </w:t>
      </w:r>
      <w:r w:rsidR="00A91011" w:rsidRPr="00305926">
        <w:rPr>
          <w:rFonts w:cs="Arial"/>
          <w:bCs/>
        </w:rPr>
        <w:t xml:space="preserve">information security </w:t>
      </w:r>
      <w:r w:rsidR="00B42C44" w:rsidRPr="00305926">
        <w:rPr>
          <w:rFonts w:cs="Arial"/>
          <w:bCs/>
        </w:rPr>
        <w:t xml:space="preserve">controls are in place </w:t>
      </w:r>
      <w:r w:rsidR="00A91011" w:rsidRPr="00305926">
        <w:rPr>
          <w:rFonts w:cs="Arial"/>
          <w:bCs/>
        </w:rPr>
        <w:t xml:space="preserve">and take steps to make sure </w:t>
      </w:r>
      <w:r w:rsidR="00E64A3D" w:rsidRPr="00305926">
        <w:rPr>
          <w:rFonts w:cs="Arial"/>
          <w:bCs/>
        </w:rPr>
        <w:t>they are</w:t>
      </w:r>
      <w:r w:rsidR="00A91011" w:rsidRPr="00305926">
        <w:rPr>
          <w:rFonts w:cs="Arial"/>
          <w:bCs/>
        </w:rPr>
        <w:t xml:space="preserve"> </w:t>
      </w:r>
      <w:proofErr w:type="gramStart"/>
      <w:r w:rsidR="00A91011" w:rsidRPr="00305926">
        <w:rPr>
          <w:rFonts w:cs="Arial"/>
          <w:bCs/>
        </w:rPr>
        <w:t>implemented</w:t>
      </w:r>
      <w:r w:rsidR="00E64A3D" w:rsidRPr="00305926">
        <w:rPr>
          <w:rFonts w:cs="Arial"/>
          <w:bCs/>
        </w:rPr>
        <w:t>;</w:t>
      </w:r>
      <w:proofErr w:type="gramEnd"/>
    </w:p>
    <w:p w14:paraId="72010F13" w14:textId="44E099F6" w:rsidR="00A91011" w:rsidRPr="00305926" w:rsidRDefault="00B42C44" w:rsidP="00305926">
      <w:pPr>
        <w:numPr>
          <w:ilvl w:val="3"/>
          <w:numId w:val="37"/>
        </w:numPr>
        <w:spacing w:after="240"/>
        <w:ind w:left="1701"/>
        <w:jc w:val="both"/>
        <w:rPr>
          <w:rFonts w:cs="Arial"/>
          <w:bCs/>
        </w:rPr>
      </w:pPr>
      <w:r w:rsidRPr="00305926">
        <w:rPr>
          <w:rFonts w:cs="Arial"/>
          <w:bCs/>
        </w:rPr>
        <w:t>R</w:t>
      </w:r>
      <w:r w:rsidR="00A91011" w:rsidRPr="00305926">
        <w:rPr>
          <w:rFonts w:cs="Arial"/>
          <w:bCs/>
        </w:rPr>
        <w:t>egularly review information security policies</w:t>
      </w:r>
      <w:r w:rsidR="00753E40" w:rsidRPr="00305926">
        <w:rPr>
          <w:rFonts w:cs="Arial"/>
          <w:bCs/>
        </w:rPr>
        <w:t xml:space="preserve">, procedures and </w:t>
      </w:r>
      <w:r w:rsidR="00A91011" w:rsidRPr="00305926">
        <w:rPr>
          <w:rFonts w:cs="Arial"/>
          <w:bCs/>
        </w:rPr>
        <w:t xml:space="preserve">measures and, where necessary, improve </w:t>
      </w:r>
      <w:proofErr w:type="gramStart"/>
      <w:r w:rsidR="00A91011" w:rsidRPr="00305926">
        <w:rPr>
          <w:rFonts w:cs="Arial"/>
          <w:bCs/>
        </w:rPr>
        <w:t>them</w:t>
      </w:r>
      <w:r w:rsidR="00753E40" w:rsidRPr="00305926">
        <w:rPr>
          <w:rFonts w:cs="Arial"/>
          <w:bCs/>
        </w:rPr>
        <w:t>;</w:t>
      </w:r>
      <w:proofErr w:type="gramEnd"/>
    </w:p>
    <w:p w14:paraId="57EC6719" w14:textId="75B12DD7" w:rsidR="00A91011" w:rsidRPr="00305926" w:rsidRDefault="4DDBA9EF" w:rsidP="3B2B9009">
      <w:pPr>
        <w:numPr>
          <w:ilvl w:val="3"/>
          <w:numId w:val="37"/>
        </w:numPr>
        <w:spacing w:after="240"/>
        <w:ind w:left="1701"/>
        <w:jc w:val="both"/>
        <w:rPr>
          <w:rFonts w:cs="Arial"/>
        </w:rPr>
      </w:pPr>
      <w:r w:rsidRPr="7AC1B05A">
        <w:rPr>
          <w:rFonts w:cs="Arial"/>
        </w:rPr>
        <w:t xml:space="preserve">Complete an </w:t>
      </w:r>
      <w:r w:rsidR="193E1912" w:rsidRPr="7AC1B05A">
        <w:rPr>
          <w:rFonts w:cs="Arial"/>
        </w:rPr>
        <w:t xml:space="preserve">annual </w:t>
      </w:r>
      <w:r w:rsidR="307AF0B5" w:rsidRPr="7AC1B05A">
        <w:rPr>
          <w:rFonts w:cs="Arial"/>
        </w:rPr>
        <w:t xml:space="preserve">CAF / </w:t>
      </w:r>
      <w:r w:rsidR="00753E40" w:rsidRPr="7AC1B05A">
        <w:rPr>
          <w:rFonts w:cs="Arial"/>
        </w:rPr>
        <w:t xml:space="preserve">Data Security and Protection Toolkit submission to </w:t>
      </w:r>
      <w:r w:rsidR="00F70DA1" w:rsidRPr="7AC1B05A">
        <w:rPr>
          <w:rFonts w:cs="Arial"/>
        </w:rPr>
        <w:t xml:space="preserve">evidence </w:t>
      </w:r>
      <w:r w:rsidR="00A91011" w:rsidRPr="7AC1B05A">
        <w:rPr>
          <w:rFonts w:cs="Arial"/>
        </w:rPr>
        <w:t xml:space="preserve">technical </w:t>
      </w:r>
      <w:r w:rsidR="00F70DA1" w:rsidRPr="7AC1B05A">
        <w:rPr>
          <w:rFonts w:cs="Arial"/>
        </w:rPr>
        <w:t xml:space="preserve">and organisational </w:t>
      </w:r>
      <w:r w:rsidR="00A91011" w:rsidRPr="7AC1B05A">
        <w:rPr>
          <w:rFonts w:cs="Arial"/>
        </w:rPr>
        <w:t>controls.</w:t>
      </w:r>
    </w:p>
    <w:p w14:paraId="0D20F55C" w14:textId="4470182C" w:rsidR="00A91011" w:rsidRPr="00305926" w:rsidRDefault="00791F8C" w:rsidP="00305926">
      <w:pPr>
        <w:numPr>
          <w:ilvl w:val="3"/>
          <w:numId w:val="37"/>
        </w:numPr>
        <w:spacing w:after="240"/>
        <w:ind w:left="1701"/>
        <w:jc w:val="both"/>
        <w:rPr>
          <w:rFonts w:cs="Arial"/>
          <w:bCs/>
        </w:rPr>
      </w:pPr>
      <w:r w:rsidRPr="00305926">
        <w:rPr>
          <w:rFonts w:cs="Arial"/>
          <w:bCs/>
        </w:rPr>
        <w:t>Implement privacy enhancing security measures such as encryption, ps</w:t>
      </w:r>
      <w:r w:rsidR="00D505CF" w:rsidRPr="00305926">
        <w:rPr>
          <w:rFonts w:cs="Arial"/>
          <w:bCs/>
        </w:rPr>
        <w:t xml:space="preserve">eudonymisation and anonymisation </w:t>
      </w:r>
      <w:r w:rsidR="00A91011" w:rsidRPr="00305926">
        <w:rPr>
          <w:rFonts w:cs="Arial"/>
          <w:bCs/>
        </w:rPr>
        <w:t xml:space="preserve">where it is appropriate to do </w:t>
      </w:r>
      <w:proofErr w:type="gramStart"/>
      <w:r w:rsidR="00A91011" w:rsidRPr="00305926">
        <w:rPr>
          <w:rFonts w:cs="Arial"/>
          <w:bCs/>
        </w:rPr>
        <w:t>so</w:t>
      </w:r>
      <w:r w:rsidR="00D505CF" w:rsidRPr="00305926">
        <w:rPr>
          <w:rFonts w:cs="Arial"/>
          <w:bCs/>
        </w:rPr>
        <w:t>;</w:t>
      </w:r>
      <w:proofErr w:type="gramEnd"/>
    </w:p>
    <w:p w14:paraId="2745E0DA" w14:textId="212B7AC3" w:rsidR="00A91011" w:rsidRPr="00305926" w:rsidRDefault="00D82409" w:rsidP="00305926">
      <w:pPr>
        <w:numPr>
          <w:ilvl w:val="3"/>
          <w:numId w:val="37"/>
        </w:numPr>
        <w:spacing w:after="240"/>
        <w:ind w:left="1701"/>
        <w:jc w:val="both"/>
        <w:rPr>
          <w:rFonts w:cs="Arial"/>
          <w:bCs/>
        </w:rPr>
      </w:pPr>
      <w:r w:rsidRPr="00305926">
        <w:rPr>
          <w:rFonts w:cs="Arial"/>
          <w:bCs/>
        </w:rPr>
        <w:t xml:space="preserve">Maintain business continuity and disaster recovery processes which ensure that </w:t>
      </w:r>
      <w:r w:rsidR="00A91011" w:rsidRPr="00305926">
        <w:rPr>
          <w:rFonts w:cs="Arial"/>
          <w:bCs/>
        </w:rPr>
        <w:t>access to personal data</w:t>
      </w:r>
      <w:r w:rsidRPr="00305926">
        <w:rPr>
          <w:rFonts w:cs="Arial"/>
          <w:bCs/>
        </w:rPr>
        <w:t xml:space="preserve"> can be restored </w:t>
      </w:r>
      <w:r w:rsidR="00A91011" w:rsidRPr="00305926">
        <w:rPr>
          <w:rFonts w:cs="Arial"/>
          <w:bCs/>
        </w:rPr>
        <w:t xml:space="preserve">in the event of any </w:t>
      </w:r>
      <w:proofErr w:type="gramStart"/>
      <w:r w:rsidR="00A91011" w:rsidRPr="00305926">
        <w:rPr>
          <w:rFonts w:cs="Arial"/>
          <w:bCs/>
        </w:rPr>
        <w:t>incidents</w:t>
      </w:r>
      <w:r w:rsidRPr="00305926">
        <w:rPr>
          <w:rFonts w:cs="Arial"/>
          <w:bCs/>
        </w:rPr>
        <w:t>;</w:t>
      </w:r>
      <w:proofErr w:type="gramEnd"/>
    </w:p>
    <w:p w14:paraId="44792B25" w14:textId="32EAC329" w:rsidR="00A91011" w:rsidRPr="00305926" w:rsidRDefault="00D82409" w:rsidP="00305926">
      <w:pPr>
        <w:numPr>
          <w:ilvl w:val="3"/>
          <w:numId w:val="37"/>
        </w:numPr>
        <w:spacing w:after="240"/>
        <w:ind w:left="1701"/>
        <w:jc w:val="both"/>
        <w:rPr>
          <w:rFonts w:cs="Arial"/>
          <w:bCs/>
        </w:rPr>
      </w:pPr>
      <w:r w:rsidRPr="00305926">
        <w:rPr>
          <w:rFonts w:cs="Arial"/>
          <w:bCs/>
        </w:rPr>
        <w:t>C</w:t>
      </w:r>
      <w:r w:rsidR="00A91011" w:rsidRPr="00305926">
        <w:rPr>
          <w:rFonts w:cs="Arial"/>
          <w:bCs/>
        </w:rPr>
        <w:t xml:space="preserve">onduct regular testing and reviews of </w:t>
      </w:r>
      <w:r w:rsidR="00BD482E" w:rsidRPr="00305926">
        <w:rPr>
          <w:rFonts w:cs="Arial"/>
          <w:bCs/>
        </w:rPr>
        <w:t>security</w:t>
      </w:r>
      <w:r w:rsidR="00A91011" w:rsidRPr="00305926">
        <w:rPr>
          <w:rFonts w:cs="Arial"/>
          <w:bCs/>
        </w:rPr>
        <w:t xml:space="preserve"> measures to ensure they remain effective, and act on the results of those tests where they highlight areas for </w:t>
      </w:r>
      <w:proofErr w:type="gramStart"/>
      <w:r w:rsidR="00A91011" w:rsidRPr="00305926">
        <w:rPr>
          <w:rFonts w:cs="Arial"/>
          <w:bCs/>
        </w:rPr>
        <w:t>improvement</w:t>
      </w:r>
      <w:r w:rsidR="00BD482E" w:rsidRPr="00305926">
        <w:rPr>
          <w:rFonts w:cs="Arial"/>
          <w:bCs/>
        </w:rPr>
        <w:t>;</w:t>
      </w:r>
      <w:proofErr w:type="gramEnd"/>
    </w:p>
    <w:p w14:paraId="5A4B142D" w14:textId="5FC14013" w:rsidR="00A91011" w:rsidRPr="00305926" w:rsidRDefault="00BD482E" w:rsidP="00305926">
      <w:pPr>
        <w:numPr>
          <w:ilvl w:val="3"/>
          <w:numId w:val="37"/>
        </w:numPr>
        <w:spacing w:after="240"/>
        <w:ind w:left="1701"/>
        <w:jc w:val="both"/>
        <w:rPr>
          <w:rFonts w:cs="Arial"/>
          <w:bCs/>
        </w:rPr>
      </w:pPr>
      <w:r w:rsidRPr="00305926">
        <w:rPr>
          <w:rFonts w:cs="Arial"/>
          <w:bCs/>
        </w:rPr>
        <w:t>E</w:t>
      </w:r>
      <w:r w:rsidR="00A91011" w:rsidRPr="00305926">
        <w:rPr>
          <w:rFonts w:cs="Arial"/>
          <w:bCs/>
        </w:rPr>
        <w:t xml:space="preserve">nsure that any data processor </w:t>
      </w:r>
      <w:r w:rsidR="005F02AA" w:rsidRPr="00305926">
        <w:rPr>
          <w:rFonts w:cs="Arial"/>
          <w:bCs/>
        </w:rPr>
        <w:t>engaged to process personal data on its behalf</w:t>
      </w:r>
      <w:r w:rsidR="00A91011" w:rsidRPr="00305926">
        <w:rPr>
          <w:rFonts w:cs="Arial"/>
          <w:bCs/>
        </w:rPr>
        <w:t xml:space="preserve"> also implements appropriate technical and organisational measures.</w:t>
      </w:r>
    </w:p>
    <w:p w14:paraId="30143742" w14:textId="2DB52B46" w:rsidR="00D22C0E" w:rsidRPr="00FE3B43" w:rsidRDefault="00E16BDB" w:rsidP="00B323A3">
      <w:pPr>
        <w:numPr>
          <w:ilvl w:val="1"/>
          <w:numId w:val="11"/>
        </w:numPr>
        <w:spacing w:after="240"/>
        <w:jc w:val="both"/>
        <w:rPr>
          <w:rFonts w:cs="Arial"/>
          <w:b/>
          <w:bCs/>
        </w:rPr>
      </w:pPr>
      <w:r w:rsidRPr="00FE3B43">
        <w:rPr>
          <w:rFonts w:cs="Arial"/>
          <w:b/>
          <w:bCs/>
        </w:rPr>
        <w:t>The technical and organisational measures the Trust will adopt to ensure the security of personal data will seek to ensure that:</w:t>
      </w:r>
    </w:p>
    <w:p w14:paraId="14EC0DE2" w14:textId="4F480F1C" w:rsidR="00E16BDB" w:rsidRPr="007B5A7C" w:rsidRDefault="00E16BDB" w:rsidP="007B5A7C">
      <w:pPr>
        <w:numPr>
          <w:ilvl w:val="3"/>
          <w:numId w:val="37"/>
        </w:numPr>
        <w:spacing w:after="240"/>
        <w:ind w:left="1701"/>
        <w:jc w:val="both"/>
        <w:rPr>
          <w:rFonts w:cs="Arial"/>
          <w:bCs/>
        </w:rPr>
      </w:pPr>
      <w:r w:rsidRPr="007B5A7C">
        <w:rPr>
          <w:rFonts w:cs="Arial"/>
          <w:bCs/>
        </w:rPr>
        <w:t>The data can be accessed, altered, disclosed or deleted only by those who have been authorised to do so (and that those people only act within the scope of the authority given to them</w:t>
      </w:r>
      <w:proofErr w:type="gramStart"/>
      <w:r w:rsidRPr="007B5A7C">
        <w:rPr>
          <w:rFonts w:cs="Arial"/>
          <w:bCs/>
        </w:rPr>
        <w:t>);</w:t>
      </w:r>
      <w:proofErr w:type="gramEnd"/>
    </w:p>
    <w:p w14:paraId="3EDD5538" w14:textId="33C7E869" w:rsidR="00E16BDB" w:rsidRPr="007B5A7C" w:rsidRDefault="00E16BDB" w:rsidP="007B5A7C">
      <w:pPr>
        <w:numPr>
          <w:ilvl w:val="3"/>
          <w:numId w:val="37"/>
        </w:numPr>
        <w:spacing w:after="240"/>
        <w:ind w:left="1701"/>
        <w:jc w:val="both"/>
        <w:rPr>
          <w:rFonts w:cs="Arial"/>
          <w:bCs/>
        </w:rPr>
      </w:pPr>
      <w:r w:rsidRPr="007B5A7C">
        <w:rPr>
          <w:rFonts w:cs="Arial"/>
          <w:bCs/>
        </w:rPr>
        <w:t>The data held is accurate and complete in relation to the purposes for which they are processed; and</w:t>
      </w:r>
    </w:p>
    <w:p w14:paraId="1DED5B1E" w14:textId="1392C0D3" w:rsidR="00E16BDB" w:rsidRPr="007B5A7C" w:rsidRDefault="00E16BDB" w:rsidP="007B5A7C">
      <w:pPr>
        <w:numPr>
          <w:ilvl w:val="3"/>
          <w:numId w:val="37"/>
        </w:numPr>
        <w:spacing w:after="240"/>
        <w:ind w:left="1701"/>
        <w:jc w:val="both"/>
        <w:rPr>
          <w:rFonts w:cs="Arial"/>
          <w:bCs/>
        </w:rPr>
      </w:pPr>
      <w:r w:rsidRPr="007B5A7C">
        <w:rPr>
          <w:rFonts w:cs="Arial"/>
          <w:bCs/>
        </w:rPr>
        <w:t>The data remains accessible and usable</w:t>
      </w:r>
      <w:r w:rsidR="00312735" w:rsidRPr="007B5A7C">
        <w:rPr>
          <w:rFonts w:cs="Arial"/>
          <w:bCs/>
        </w:rPr>
        <w:t xml:space="preserve"> such that</w:t>
      </w:r>
      <w:r w:rsidRPr="007B5A7C">
        <w:rPr>
          <w:rFonts w:cs="Arial"/>
          <w:bCs/>
        </w:rPr>
        <w:t xml:space="preserve"> if personal data is accidentally lost, </w:t>
      </w:r>
      <w:r w:rsidR="002B6F00" w:rsidRPr="007B5A7C">
        <w:rPr>
          <w:rFonts w:cs="Arial"/>
          <w:bCs/>
        </w:rPr>
        <w:t>altered,</w:t>
      </w:r>
      <w:r w:rsidRPr="007B5A7C">
        <w:rPr>
          <w:rFonts w:cs="Arial"/>
          <w:bCs/>
        </w:rPr>
        <w:t xml:space="preserve"> or destroyed, </w:t>
      </w:r>
      <w:r w:rsidR="00312735" w:rsidRPr="007B5A7C">
        <w:rPr>
          <w:rFonts w:cs="Arial"/>
          <w:bCs/>
        </w:rPr>
        <w:t>it can be</w:t>
      </w:r>
      <w:r w:rsidRPr="007B5A7C">
        <w:rPr>
          <w:rFonts w:cs="Arial"/>
          <w:bCs/>
        </w:rPr>
        <w:t xml:space="preserve"> recover</w:t>
      </w:r>
      <w:r w:rsidR="00312735" w:rsidRPr="007B5A7C">
        <w:rPr>
          <w:rFonts w:cs="Arial"/>
          <w:bCs/>
        </w:rPr>
        <w:t>ed</w:t>
      </w:r>
      <w:r w:rsidR="00951688" w:rsidRPr="007B5A7C">
        <w:rPr>
          <w:rFonts w:cs="Arial"/>
          <w:bCs/>
        </w:rPr>
        <w:t xml:space="preserve"> in such a way as</w:t>
      </w:r>
      <w:r w:rsidRPr="007B5A7C">
        <w:rPr>
          <w:rFonts w:cs="Arial"/>
          <w:bCs/>
        </w:rPr>
        <w:t xml:space="preserve"> </w:t>
      </w:r>
      <w:r w:rsidR="00312735" w:rsidRPr="007B5A7C">
        <w:rPr>
          <w:rFonts w:cs="Arial"/>
          <w:bCs/>
        </w:rPr>
        <w:t>to</w:t>
      </w:r>
      <w:r w:rsidRPr="007B5A7C">
        <w:rPr>
          <w:rFonts w:cs="Arial"/>
          <w:bCs/>
        </w:rPr>
        <w:t xml:space="preserve"> prevent any damage or distress to the individuals concerned.</w:t>
      </w:r>
    </w:p>
    <w:p w14:paraId="6871FCA6" w14:textId="77777777" w:rsidR="00B323A3" w:rsidRDefault="002F30E7" w:rsidP="00B323A3">
      <w:pPr>
        <w:numPr>
          <w:ilvl w:val="1"/>
          <w:numId w:val="11"/>
        </w:numPr>
        <w:spacing w:after="240"/>
        <w:jc w:val="both"/>
        <w:rPr>
          <w:rFonts w:cs="Arial"/>
        </w:rPr>
      </w:pPr>
      <w:r w:rsidRPr="00B323A3">
        <w:rPr>
          <w:rFonts w:cs="Arial"/>
        </w:rPr>
        <w:t xml:space="preserve">The Trust will ensure that both physical and </w:t>
      </w:r>
      <w:r w:rsidR="00B909E7" w:rsidRPr="00B323A3">
        <w:rPr>
          <w:rFonts w:cs="Arial"/>
        </w:rPr>
        <w:t>computer</w:t>
      </w:r>
      <w:r w:rsidR="00D439D7" w:rsidRPr="00B323A3">
        <w:rPr>
          <w:rFonts w:cs="Arial"/>
        </w:rPr>
        <w:t>/IT (</w:t>
      </w:r>
      <w:r w:rsidRPr="00B323A3">
        <w:rPr>
          <w:rFonts w:cs="Arial"/>
        </w:rPr>
        <w:t>cyber</w:t>
      </w:r>
      <w:r w:rsidR="00D439D7" w:rsidRPr="00B323A3">
        <w:rPr>
          <w:rFonts w:cs="Arial"/>
        </w:rPr>
        <w:t>)</w:t>
      </w:r>
      <w:r w:rsidRPr="00B323A3">
        <w:rPr>
          <w:rFonts w:cs="Arial"/>
        </w:rPr>
        <w:t xml:space="preserve"> security measures </w:t>
      </w:r>
      <w:r w:rsidR="00D439D7" w:rsidRPr="00B323A3">
        <w:rPr>
          <w:rFonts w:cs="Arial"/>
        </w:rPr>
        <w:t>are considered</w:t>
      </w:r>
      <w:r w:rsidR="00EF5361" w:rsidRPr="00B323A3">
        <w:rPr>
          <w:rFonts w:cs="Arial"/>
        </w:rPr>
        <w:t xml:space="preserve"> and applied as necessary.  Examples of the factors which will be considered include (but are not limited to):</w:t>
      </w:r>
    </w:p>
    <w:p w14:paraId="229A7A96" w14:textId="61287734" w:rsidR="00EF5361" w:rsidRPr="00B323A3" w:rsidRDefault="00C95B34" w:rsidP="00B323A3">
      <w:pPr>
        <w:numPr>
          <w:ilvl w:val="1"/>
          <w:numId w:val="11"/>
        </w:numPr>
        <w:spacing w:after="240"/>
        <w:jc w:val="both"/>
        <w:rPr>
          <w:rFonts w:cs="Arial"/>
        </w:rPr>
      </w:pPr>
      <w:r w:rsidRPr="00B323A3">
        <w:rPr>
          <w:rFonts w:cs="Arial"/>
          <w:b/>
          <w:bCs/>
        </w:rPr>
        <w:t>Physical security measures:</w:t>
      </w:r>
    </w:p>
    <w:p w14:paraId="3F5E8078" w14:textId="6162070B" w:rsidR="00C95B34" w:rsidRPr="007B5A7C" w:rsidRDefault="00C95B34" w:rsidP="007B5A7C">
      <w:pPr>
        <w:numPr>
          <w:ilvl w:val="3"/>
          <w:numId w:val="37"/>
        </w:numPr>
        <w:spacing w:after="240"/>
        <w:ind w:left="1701"/>
        <w:jc w:val="both"/>
        <w:rPr>
          <w:rFonts w:cs="Arial"/>
          <w:bCs/>
        </w:rPr>
      </w:pPr>
      <w:r w:rsidRPr="007B5A7C">
        <w:rPr>
          <w:rFonts w:cs="Arial"/>
          <w:bCs/>
        </w:rPr>
        <w:t xml:space="preserve">The quality of doors and locks, and the protection of premises by such means as alarms, security lighting or </w:t>
      </w:r>
      <w:proofErr w:type="gramStart"/>
      <w:r w:rsidRPr="007B5A7C">
        <w:rPr>
          <w:rFonts w:cs="Arial"/>
          <w:bCs/>
        </w:rPr>
        <w:t>CCTV;</w:t>
      </w:r>
      <w:proofErr w:type="gramEnd"/>
    </w:p>
    <w:p w14:paraId="27735BA7" w14:textId="46725E83" w:rsidR="00C95B34" w:rsidRPr="007B5A7C" w:rsidRDefault="00C95B34" w:rsidP="007B5A7C">
      <w:pPr>
        <w:numPr>
          <w:ilvl w:val="3"/>
          <w:numId w:val="37"/>
        </w:numPr>
        <w:spacing w:after="240"/>
        <w:ind w:left="1701"/>
        <w:jc w:val="both"/>
        <w:rPr>
          <w:rFonts w:cs="Arial"/>
          <w:bCs/>
        </w:rPr>
      </w:pPr>
      <w:r w:rsidRPr="007B5A7C">
        <w:rPr>
          <w:rFonts w:cs="Arial"/>
          <w:bCs/>
        </w:rPr>
        <w:t xml:space="preserve">Access controls to premises and how visitors are </w:t>
      </w:r>
      <w:proofErr w:type="gramStart"/>
      <w:r w:rsidRPr="007B5A7C">
        <w:rPr>
          <w:rFonts w:cs="Arial"/>
          <w:bCs/>
        </w:rPr>
        <w:t>supervised;</w:t>
      </w:r>
      <w:proofErr w:type="gramEnd"/>
    </w:p>
    <w:p w14:paraId="0F8FEA44" w14:textId="7FFC1B91" w:rsidR="00C95B34" w:rsidRPr="007B5A7C" w:rsidRDefault="002B6F00" w:rsidP="007B5A7C">
      <w:pPr>
        <w:numPr>
          <w:ilvl w:val="3"/>
          <w:numId w:val="37"/>
        </w:numPr>
        <w:spacing w:after="240"/>
        <w:ind w:left="1701"/>
        <w:jc w:val="both"/>
        <w:rPr>
          <w:rFonts w:cs="Arial"/>
          <w:bCs/>
        </w:rPr>
      </w:pPr>
      <w:r w:rsidRPr="007B5A7C">
        <w:rPr>
          <w:rFonts w:cs="Arial"/>
          <w:bCs/>
        </w:rPr>
        <w:t>Secure d</w:t>
      </w:r>
      <w:r w:rsidR="00C95B34" w:rsidRPr="007B5A7C">
        <w:rPr>
          <w:rFonts w:cs="Arial"/>
          <w:bCs/>
        </w:rPr>
        <w:t>isposal of paper and electronic waste; and</w:t>
      </w:r>
    </w:p>
    <w:p w14:paraId="1F1AE8F4" w14:textId="41535BB3" w:rsidR="00C95B34" w:rsidRPr="007B5A7C" w:rsidRDefault="005A7CDC" w:rsidP="007B5A7C">
      <w:pPr>
        <w:numPr>
          <w:ilvl w:val="3"/>
          <w:numId w:val="37"/>
        </w:numPr>
        <w:spacing w:after="240"/>
        <w:ind w:left="1701"/>
        <w:jc w:val="both"/>
        <w:rPr>
          <w:rFonts w:cs="Arial"/>
          <w:bCs/>
        </w:rPr>
      </w:pPr>
      <w:r w:rsidRPr="007B5A7C">
        <w:rPr>
          <w:rFonts w:cs="Arial"/>
          <w:bCs/>
        </w:rPr>
        <w:t>Security measures to secure</w:t>
      </w:r>
      <w:r w:rsidR="00C95B34" w:rsidRPr="007B5A7C">
        <w:rPr>
          <w:rFonts w:cs="Arial"/>
          <w:bCs/>
        </w:rPr>
        <w:t xml:space="preserve"> IT equipment, particularly mobile devices.</w:t>
      </w:r>
    </w:p>
    <w:p w14:paraId="43EAF519" w14:textId="77777777" w:rsidR="00562727" w:rsidRDefault="00407C03" w:rsidP="00562727">
      <w:pPr>
        <w:numPr>
          <w:ilvl w:val="1"/>
          <w:numId w:val="11"/>
        </w:numPr>
        <w:spacing w:after="240"/>
        <w:jc w:val="both"/>
        <w:rPr>
          <w:rFonts w:cs="Arial"/>
          <w:b/>
          <w:bCs/>
        </w:rPr>
      </w:pPr>
      <w:r w:rsidRPr="00FE3B43">
        <w:rPr>
          <w:rFonts w:cs="Arial"/>
          <w:b/>
          <w:bCs/>
        </w:rPr>
        <w:t>Cybersecurity measures:</w:t>
      </w:r>
    </w:p>
    <w:p w14:paraId="003F1F22" w14:textId="77777777" w:rsidR="00562727" w:rsidRPr="00562727" w:rsidRDefault="007A577D" w:rsidP="00562727">
      <w:pPr>
        <w:numPr>
          <w:ilvl w:val="3"/>
          <w:numId w:val="37"/>
        </w:numPr>
        <w:spacing w:after="240"/>
        <w:ind w:left="1701"/>
        <w:jc w:val="both"/>
        <w:rPr>
          <w:rFonts w:cs="Arial"/>
          <w:bCs/>
        </w:rPr>
      </w:pPr>
      <w:r w:rsidRPr="00562727">
        <w:rPr>
          <w:rFonts w:cs="Arial"/>
          <w:bCs/>
        </w:rPr>
        <w:t xml:space="preserve">System security - the security of networks and information systems, including those which process personal </w:t>
      </w:r>
      <w:proofErr w:type="gramStart"/>
      <w:r w:rsidRPr="00562727">
        <w:rPr>
          <w:rFonts w:cs="Arial"/>
          <w:bCs/>
        </w:rPr>
        <w:t>data;</w:t>
      </w:r>
      <w:proofErr w:type="gramEnd"/>
    </w:p>
    <w:p w14:paraId="72C06A67" w14:textId="62CC97F2" w:rsidR="007A577D" w:rsidRPr="00562727" w:rsidRDefault="007A577D" w:rsidP="00562727">
      <w:pPr>
        <w:numPr>
          <w:ilvl w:val="3"/>
          <w:numId w:val="37"/>
        </w:numPr>
        <w:spacing w:after="240"/>
        <w:ind w:left="1701"/>
        <w:jc w:val="both"/>
        <w:rPr>
          <w:rFonts w:cs="Arial"/>
          <w:bCs/>
        </w:rPr>
      </w:pPr>
      <w:r w:rsidRPr="00562727">
        <w:rPr>
          <w:rFonts w:cs="Arial"/>
          <w:bCs/>
        </w:rPr>
        <w:t xml:space="preserve">Data security - the security of the data held within your systems, </w:t>
      </w:r>
      <w:r w:rsidR="00562727" w:rsidRPr="00562727">
        <w:rPr>
          <w:rFonts w:cs="Arial"/>
          <w:bCs/>
        </w:rPr>
        <w:t>e.g.,</w:t>
      </w:r>
      <w:r w:rsidRPr="00562727">
        <w:rPr>
          <w:rFonts w:cs="Arial"/>
          <w:bCs/>
        </w:rPr>
        <w:t xml:space="preserve"> ensuring appropriate access controls are in place and that data is held </w:t>
      </w:r>
      <w:proofErr w:type="gramStart"/>
      <w:r w:rsidRPr="00562727">
        <w:rPr>
          <w:rFonts w:cs="Arial"/>
          <w:bCs/>
        </w:rPr>
        <w:t>securely;</w:t>
      </w:r>
      <w:proofErr w:type="gramEnd"/>
    </w:p>
    <w:p w14:paraId="5ABED452" w14:textId="424D0F01" w:rsidR="007A577D" w:rsidRPr="00562727" w:rsidRDefault="00C919F1" w:rsidP="00562727">
      <w:pPr>
        <w:numPr>
          <w:ilvl w:val="3"/>
          <w:numId w:val="37"/>
        </w:numPr>
        <w:spacing w:after="240"/>
        <w:ind w:left="1701"/>
        <w:jc w:val="both"/>
        <w:rPr>
          <w:rFonts w:cs="Arial"/>
          <w:bCs/>
        </w:rPr>
      </w:pPr>
      <w:r w:rsidRPr="00562727">
        <w:rPr>
          <w:rFonts w:cs="Arial"/>
          <w:bCs/>
        </w:rPr>
        <w:t>O</w:t>
      </w:r>
      <w:r w:rsidR="007A577D" w:rsidRPr="00562727">
        <w:rPr>
          <w:rFonts w:cs="Arial"/>
          <w:bCs/>
        </w:rPr>
        <w:t xml:space="preserve">nline security - </w:t>
      </w:r>
      <w:r w:rsidR="00562727" w:rsidRPr="00562727">
        <w:rPr>
          <w:rFonts w:cs="Arial"/>
          <w:bCs/>
        </w:rPr>
        <w:t>e.g.,</w:t>
      </w:r>
      <w:r w:rsidR="007A577D" w:rsidRPr="00562727">
        <w:rPr>
          <w:rFonts w:cs="Arial"/>
          <w:bCs/>
        </w:rPr>
        <w:t xml:space="preserve"> the security of website</w:t>
      </w:r>
      <w:r w:rsidRPr="00562727">
        <w:rPr>
          <w:rFonts w:cs="Arial"/>
          <w:bCs/>
        </w:rPr>
        <w:t>s</w:t>
      </w:r>
      <w:r w:rsidR="007A577D" w:rsidRPr="00562727">
        <w:rPr>
          <w:rFonts w:cs="Arial"/>
          <w:bCs/>
        </w:rPr>
        <w:t xml:space="preserve"> and any other online service or application that </w:t>
      </w:r>
      <w:r w:rsidRPr="00562727">
        <w:rPr>
          <w:rFonts w:cs="Arial"/>
          <w:bCs/>
        </w:rPr>
        <w:t>are</w:t>
      </w:r>
      <w:r w:rsidR="007A577D" w:rsidRPr="00562727">
        <w:rPr>
          <w:rFonts w:cs="Arial"/>
          <w:bCs/>
        </w:rPr>
        <w:t xml:space="preserve"> use</w:t>
      </w:r>
      <w:r w:rsidRPr="00562727">
        <w:rPr>
          <w:rFonts w:cs="Arial"/>
          <w:bCs/>
        </w:rPr>
        <w:t>s</w:t>
      </w:r>
      <w:r w:rsidR="007A577D" w:rsidRPr="00562727">
        <w:rPr>
          <w:rFonts w:cs="Arial"/>
          <w:bCs/>
        </w:rPr>
        <w:t>; and</w:t>
      </w:r>
    </w:p>
    <w:p w14:paraId="65E444FF" w14:textId="6C884D27" w:rsidR="007A577D" w:rsidRPr="00562727" w:rsidRDefault="00C919F1" w:rsidP="00562727">
      <w:pPr>
        <w:numPr>
          <w:ilvl w:val="3"/>
          <w:numId w:val="37"/>
        </w:numPr>
        <w:spacing w:after="240"/>
        <w:ind w:left="1701"/>
        <w:jc w:val="both"/>
        <w:rPr>
          <w:rFonts w:cs="Arial"/>
          <w:bCs/>
        </w:rPr>
      </w:pPr>
      <w:r w:rsidRPr="00562727">
        <w:rPr>
          <w:rFonts w:cs="Arial"/>
          <w:bCs/>
        </w:rPr>
        <w:t>D</w:t>
      </w:r>
      <w:r w:rsidR="007A577D" w:rsidRPr="00562727">
        <w:rPr>
          <w:rFonts w:cs="Arial"/>
          <w:bCs/>
        </w:rPr>
        <w:t xml:space="preserve">evice security - including </w:t>
      </w:r>
      <w:r w:rsidR="00C37E18" w:rsidRPr="00562727">
        <w:rPr>
          <w:rFonts w:cs="Arial"/>
          <w:bCs/>
        </w:rPr>
        <w:t xml:space="preserve">mobile device management and the </w:t>
      </w:r>
      <w:r w:rsidR="008240F8" w:rsidRPr="00562727">
        <w:rPr>
          <w:rFonts w:cs="Arial"/>
          <w:bCs/>
        </w:rPr>
        <w:t xml:space="preserve">authorised or appropriate </w:t>
      </w:r>
      <w:r w:rsidR="00C37E18" w:rsidRPr="00562727">
        <w:rPr>
          <w:rFonts w:cs="Arial"/>
          <w:bCs/>
        </w:rPr>
        <w:t>use of personal devices</w:t>
      </w:r>
      <w:r w:rsidR="007A577D" w:rsidRPr="00562727">
        <w:rPr>
          <w:rFonts w:cs="Arial"/>
          <w:bCs/>
        </w:rPr>
        <w:t>.</w:t>
      </w:r>
    </w:p>
    <w:p w14:paraId="19D1D68C" w14:textId="77777777" w:rsidR="00562727" w:rsidRDefault="00EC7589" w:rsidP="00562727">
      <w:pPr>
        <w:numPr>
          <w:ilvl w:val="1"/>
          <w:numId w:val="11"/>
        </w:numPr>
        <w:spacing w:after="240"/>
        <w:jc w:val="both"/>
        <w:rPr>
          <w:rFonts w:cs="Arial"/>
        </w:rPr>
      </w:pPr>
      <w:r w:rsidRPr="00562727">
        <w:rPr>
          <w:rFonts w:cs="Arial"/>
        </w:rPr>
        <w:t xml:space="preserve">Where the Trust </w:t>
      </w:r>
      <w:r w:rsidR="00384EF0" w:rsidRPr="00562727">
        <w:rPr>
          <w:rFonts w:cs="Arial"/>
        </w:rPr>
        <w:t>engages any</w:t>
      </w:r>
      <w:r w:rsidRPr="00562727">
        <w:rPr>
          <w:rFonts w:cs="Arial"/>
        </w:rPr>
        <w:t xml:space="preserve"> organisation</w:t>
      </w:r>
      <w:r w:rsidR="00384EF0" w:rsidRPr="00562727">
        <w:rPr>
          <w:rFonts w:cs="Arial"/>
        </w:rPr>
        <w:t xml:space="preserve"> to</w:t>
      </w:r>
      <w:r w:rsidRPr="00562727">
        <w:rPr>
          <w:rFonts w:cs="Arial"/>
        </w:rPr>
        <w:t xml:space="preserve"> process personal data on </w:t>
      </w:r>
      <w:r w:rsidR="00384EF0" w:rsidRPr="00562727">
        <w:rPr>
          <w:rFonts w:cs="Arial"/>
        </w:rPr>
        <w:t>its</w:t>
      </w:r>
      <w:r w:rsidRPr="00562727">
        <w:rPr>
          <w:rFonts w:cs="Arial"/>
        </w:rPr>
        <w:t xml:space="preserve"> behalf these </w:t>
      </w:r>
      <w:r w:rsidR="00384EF0" w:rsidRPr="00562727">
        <w:rPr>
          <w:rFonts w:cs="Arial"/>
        </w:rPr>
        <w:t>will be classed as a</w:t>
      </w:r>
      <w:r w:rsidRPr="00562727">
        <w:rPr>
          <w:rFonts w:cs="Arial"/>
        </w:rPr>
        <w:t xml:space="preserve"> data processor under </w:t>
      </w:r>
      <w:r w:rsidR="00384EF0" w:rsidRPr="00562727">
        <w:rPr>
          <w:rFonts w:cs="Arial"/>
        </w:rPr>
        <w:t>data protection law</w:t>
      </w:r>
      <w:r w:rsidRPr="00562727">
        <w:rPr>
          <w:rFonts w:cs="Arial"/>
        </w:rPr>
        <w:t xml:space="preserve">. </w:t>
      </w:r>
      <w:r w:rsidR="00EE4932" w:rsidRPr="00562727">
        <w:rPr>
          <w:rFonts w:cs="Arial"/>
        </w:rPr>
        <w:t xml:space="preserve"> As the data controller the Trust will remain</w:t>
      </w:r>
      <w:r w:rsidRPr="00562727">
        <w:rPr>
          <w:rFonts w:cs="Arial"/>
        </w:rPr>
        <w:t xml:space="preserve"> responsible for ensuring compliance with </w:t>
      </w:r>
      <w:r w:rsidR="00EE4932" w:rsidRPr="00562727">
        <w:rPr>
          <w:rFonts w:cs="Arial"/>
        </w:rPr>
        <w:t xml:space="preserve">data protection law </w:t>
      </w:r>
      <w:r w:rsidRPr="00562727">
        <w:rPr>
          <w:rFonts w:cs="Arial"/>
        </w:rPr>
        <w:t xml:space="preserve">and this includes what </w:t>
      </w:r>
      <w:r w:rsidR="00EE4932" w:rsidRPr="00562727">
        <w:rPr>
          <w:rFonts w:cs="Arial"/>
        </w:rPr>
        <w:t>any</w:t>
      </w:r>
      <w:r w:rsidRPr="00562727">
        <w:rPr>
          <w:rFonts w:cs="Arial"/>
        </w:rPr>
        <w:t xml:space="preserve"> processor does with the data.</w:t>
      </w:r>
      <w:r w:rsidR="00EE4932" w:rsidRPr="00562727">
        <w:rPr>
          <w:rFonts w:cs="Arial"/>
        </w:rPr>
        <w:t xml:space="preserve">  To </w:t>
      </w:r>
      <w:r w:rsidR="003F1C71" w:rsidRPr="00562727">
        <w:rPr>
          <w:rFonts w:cs="Arial"/>
        </w:rPr>
        <w:t>suitably protect personal data processed by any data processor the Trust will:</w:t>
      </w:r>
    </w:p>
    <w:p w14:paraId="5863E69E" w14:textId="132BFE92" w:rsidR="00EC7589" w:rsidRPr="00562727" w:rsidRDefault="003F1C71" w:rsidP="00562727">
      <w:pPr>
        <w:numPr>
          <w:ilvl w:val="3"/>
          <w:numId w:val="37"/>
        </w:numPr>
        <w:spacing w:after="240"/>
        <w:ind w:left="1701"/>
        <w:jc w:val="both"/>
        <w:rPr>
          <w:rFonts w:cs="Arial"/>
          <w:bCs/>
        </w:rPr>
      </w:pPr>
      <w:r w:rsidRPr="00562727">
        <w:rPr>
          <w:rFonts w:cs="Arial"/>
          <w:bCs/>
        </w:rPr>
        <w:t>Only c</w:t>
      </w:r>
      <w:r w:rsidR="00EC7589" w:rsidRPr="00562727">
        <w:rPr>
          <w:rFonts w:cs="Arial"/>
          <w:bCs/>
        </w:rPr>
        <w:t>hoose data processor</w:t>
      </w:r>
      <w:r w:rsidRPr="00562727">
        <w:rPr>
          <w:rFonts w:cs="Arial"/>
          <w:bCs/>
        </w:rPr>
        <w:t>s</w:t>
      </w:r>
      <w:r w:rsidR="00EC7589" w:rsidRPr="00562727">
        <w:rPr>
          <w:rFonts w:cs="Arial"/>
          <w:bCs/>
        </w:rPr>
        <w:t xml:space="preserve"> that </w:t>
      </w:r>
      <w:r w:rsidRPr="00562727">
        <w:rPr>
          <w:rFonts w:cs="Arial"/>
          <w:bCs/>
        </w:rPr>
        <w:t xml:space="preserve">can </w:t>
      </w:r>
      <w:r w:rsidR="00EC7589" w:rsidRPr="00562727">
        <w:rPr>
          <w:rFonts w:cs="Arial"/>
          <w:bCs/>
        </w:rPr>
        <w:t xml:space="preserve">provide sufficient guarantees about </w:t>
      </w:r>
      <w:r w:rsidR="008131FB" w:rsidRPr="00562727">
        <w:rPr>
          <w:rFonts w:cs="Arial"/>
          <w:bCs/>
        </w:rPr>
        <w:t>their</w:t>
      </w:r>
      <w:r w:rsidR="00EC7589" w:rsidRPr="00562727">
        <w:rPr>
          <w:rFonts w:cs="Arial"/>
          <w:bCs/>
        </w:rPr>
        <w:t xml:space="preserve"> security </w:t>
      </w:r>
      <w:proofErr w:type="gramStart"/>
      <w:r w:rsidR="00EC7589" w:rsidRPr="00562727">
        <w:rPr>
          <w:rFonts w:cs="Arial"/>
          <w:bCs/>
        </w:rPr>
        <w:t>measures;</w:t>
      </w:r>
      <w:proofErr w:type="gramEnd"/>
    </w:p>
    <w:p w14:paraId="0B931AB6" w14:textId="0A3C4F50" w:rsidR="00EC7589" w:rsidRPr="00562727" w:rsidRDefault="008131FB" w:rsidP="00562727">
      <w:pPr>
        <w:numPr>
          <w:ilvl w:val="3"/>
          <w:numId w:val="37"/>
        </w:numPr>
        <w:spacing w:after="240"/>
        <w:ind w:left="1701"/>
        <w:jc w:val="both"/>
        <w:rPr>
          <w:rFonts w:cs="Arial"/>
          <w:bCs/>
        </w:rPr>
      </w:pPr>
      <w:r w:rsidRPr="00562727">
        <w:rPr>
          <w:rFonts w:cs="Arial"/>
          <w:bCs/>
        </w:rPr>
        <w:t xml:space="preserve">Engage </w:t>
      </w:r>
      <w:r w:rsidR="004C0979" w:rsidRPr="00562727">
        <w:rPr>
          <w:rFonts w:cs="Arial"/>
          <w:bCs/>
        </w:rPr>
        <w:t>data processors</w:t>
      </w:r>
      <w:r w:rsidRPr="00562727">
        <w:rPr>
          <w:rFonts w:cs="Arial"/>
          <w:bCs/>
        </w:rPr>
        <w:t xml:space="preserve"> under a </w:t>
      </w:r>
      <w:r w:rsidR="00EC7589" w:rsidRPr="00562727">
        <w:rPr>
          <w:rFonts w:cs="Arial"/>
          <w:bCs/>
        </w:rPr>
        <w:t xml:space="preserve">written contract </w:t>
      </w:r>
      <w:r w:rsidRPr="00562727">
        <w:rPr>
          <w:rFonts w:cs="Arial"/>
          <w:bCs/>
        </w:rPr>
        <w:t xml:space="preserve">which </w:t>
      </w:r>
      <w:r w:rsidR="00EC7589" w:rsidRPr="00562727">
        <w:rPr>
          <w:rFonts w:cs="Arial"/>
          <w:bCs/>
        </w:rPr>
        <w:t>stipulate</w:t>
      </w:r>
      <w:r w:rsidR="004C0979" w:rsidRPr="00562727">
        <w:rPr>
          <w:rFonts w:cs="Arial"/>
          <w:bCs/>
        </w:rPr>
        <w:t>s</w:t>
      </w:r>
      <w:r w:rsidR="00EC7589" w:rsidRPr="00562727">
        <w:rPr>
          <w:rFonts w:cs="Arial"/>
          <w:bCs/>
        </w:rPr>
        <w:t xml:space="preserve"> that the processor </w:t>
      </w:r>
      <w:r w:rsidR="0008365F" w:rsidRPr="00562727">
        <w:rPr>
          <w:rFonts w:cs="Arial"/>
          <w:bCs/>
        </w:rPr>
        <w:t xml:space="preserve">will implement </w:t>
      </w:r>
      <w:r w:rsidR="00EC7589" w:rsidRPr="00562727">
        <w:rPr>
          <w:rFonts w:cs="Arial"/>
          <w:bCs/>
        </w:rPr>
        <w:t>the same</w:t>
      </w:r>
      <w:r w:rsidR="0008365F" w:rsidRPr="00562727">
        <w:rPr>
          <w:rFonts w:cs="Arial"/>
          <w:bCs/>
        </w:rPr>
        <w:t xml:space="preserve"> or equivalent</w:t>
      </w:r>
      <w:r w:rsidR="00EC7589" w:rsidRPr="00562727">
        <w:rPr>
          <w:rFonts w:cs="Arial"/>
          <w:bCs/>
        </w:rPr>
        <w:t xml:space="preserve"> security measures that </w:t>
      </w:r>
      <w:r w:rsidR="0008365F" w:rsidRPr="00562727">
        <w:rPr>
          <w:rFonts w:cs="Arial"/>
          <w:bCs/>
        </w:rPr>
        <w:t xml:space="preserve">the Trust </w:t>
      </w:r>
      <w:r w:rsidR="00EC7589" w:rsidRPr="00562727">
        <w:rPr>
          <w:rFonts w:cs="Arial"/>
          <w:bCs/>
        </w:rPr>
        <w:t xml:space="preserve">would </w:t>
      </w:r>
      <w:r w:rsidR="0008365F" w:rsidRPr="00562727">
        <w:rPr>
          <w:rFonts w:cs="Arial"/>
          <w:bCs/>
        </w:rPr>
        <w:t xml:space="preserve">employ </w:t>
      </w:r>
      <w:r w:rsidR="00EC7589" w:rsidRPr="00562727">
        <w:rPr>
          <w:rFonts w:cs="Arial"/>
          <w:bCs/>
        </w:rPr>
        <w:t xml:space="preserve">if </w:t>
      </w:r>
      <w:r w:rsidR="0008365F" w:rsidRPr="00562727">
        <w:rPr>
          <w:rFonts w:cs="Arial"/>
          <w:bCs/>
        </w:rPr>
        <w:t>it</w:t>
      </w:r>
      <w:r w:rsidR="00EC7589" w:rsidRPr="00562727">
        <w:rPr>
          <w:rFonts w:cs="Arial"/>
          <w:bCs/>
        </w:rPr>
        <w:t xml:space="preserve"> were doing the processing </w:t>
      </w:r>
      <w:r w:rsidR="0008365F" w:rsidRPr="00562727">
        <w:rPr>
          <w:rFonts w:cs="Arial"/>
          <w:bCs/>
        </w:rPr>
        <w:t>it</w:t>
      </w:r>
      <w:r w:rsidR="00EC7589" w:rsidRPr="00562727">
        <w:rPr>
          <w:rFonts w:cs="Arial"/>
          <w:bCs/>
        </w:rPr>
        <w:t>self; and</w:t>
      </w:r>
    </w:p>
    <w:p w14:paraId="25746D65" w14:textId="10D69327" w:rsidR="00EC7589" w:rsidRPr="00562727" w:rsidRDefault="0008365F" w:rsidP="00562727">
      <w:pPr>
        <w:numPr>
          <w:ilvl w:val="3"/>
          <w:numId w:val="37"/>
        </w:numPr>
        <w:spacing w:after="240"/>
        <w:ind w:left="1701"/>
        <w:jc w:val="both"/>
        <w:rPr>
          <w:rFonts w:cs="Arial"/>
          <w:bCs/>
        </w:rPr>
      </w:pPr>
      <w:r w:rsidRPr="00562727">
        <w:rPr>
          <w:rFonts w:cs="Arial"/>
          <w:bCs/>
        </w:rPr>
        <w:t>E</w:t>
      </w:r>
      <w:r w:rsidR="00EC7589" w:rsidRPr="00562727">
        <w:rPr>
          <w:rFonts w:cs="Arial"/>
          <w:bCs/>
        </w:rPr>
        <w:t xml:space="preserve">nsure that </w:t>
      </w:r>
      <w:r w:rsidRPr="00562727">
        <w:rPr>
          <w:rFonts w:cs="Arial"/>
          <w:bCs/>
        </w:rPr>
        <w:t>the</w:t>
      </w:r>
      <w:r w:rsidR="00EC7589" w:rsidRPr="00562727">
        <w:rPr>
          <w:rFonts w:cs="Arial"/>
          <w:bCs/>
        </w:rPr>
        <w:t xml:space="preserve"> contract includes a requirement that the processor makes available all information necessary to demonstrate compliance</w:t>
      </w:r>
      <w:r w:rsidRPr="00562727">
        <w:rPr>
          <w:rFonts w:cs="Arial"/>
          <w:bCs/>
        </w:rPr>
        <w:t xml:space="preserve"> such as</w:t>
      </w:r>
      <w:r w:rsidR="00EC7589" w:rsidRPr="00562727">
        <w:rPr>
          <w:rFonts w:cs="Arial"/>
          <w:bCs/>
        </w:rPr>
        <w:t xml:space="preserve"> allowing for </w:t>
      </w:r>
      <w:r w:rsidRPr="00562727">
        <w:rPr>
          <w:rFonts w:cs="Arial"/>
          <w:bCs/>
        </w:rPr>
        <w:t>a</w:t>
      </w:r>
      <w:r w:rsidR="00EC7589" w:rsidRPr="00562727">
        <w:rPr>
          <w:rFonts w:cs="Arial"/>
          <w:bCs/>
        </w:rPr>
        <w:t>udit</w:t>
      </w:r>
      <w:r w:rsidRPr="00562727">
        <w:rPr>
          <w:rFonts w:cs="Arial"/>
          <w:bCs/>
        </w:rPr>
        <w:t>s</w:t>
      </w:r>
      <w:r w:rsidR="00EC7589" w:rsidRPr="00562727">
        <w:rPr>
          <w:rFonts w:cs="Arial"/>
          <w:bCs/>
        </w:rPr>
        <w:t xml:space="preserve"> and inspect</w:t>
      </w:r>
      <w:r w:rsidRPr="00562727">
        <w:rPr>
          <w:rFonts w:cs="Arial"/>
          <w:bCs/>
        </w:rPr>
        <w:t>ions</w:t>
      </w:r>
      <w:r w:rsidR="00EC7589" w:rsidRPr="00562727">
        <w:rPr>
          <w:rFonts w:cs="Arial"/>
          <w:bCs/>
        </w:rPr>
        <w:t xml:space="preserve"> </w:t>
      </w:r>
      <w:r w:rsidRPr="00562727">
        <w:rPr>
          <w:rFonts w:cs="Arial"/>
          <w:bCs/>
        </w:rPr>
        <w:t>by the Trust</w:t>
      </w:r>
      <w:r w:rsidR="00EC7589" w:rsidRPr="00562727">
        <w:rPr>
          <w:rFonts w:cs="Arial"/>
          <w:bCs/>
        </w:rPr>
        <w:t xml:space="preserve"> or an authorised third party.</w:t>
      </w:r>
    </w:p>
    <w:p w14:paraId="1E32BA3B" w14:textId="77777777" w:rsidR="00A0247C" w:rsidRDefault="00D75E37" w:rsidP="00562727">
      <w:pPr>
        <w:numPr>
          <w:ilvl w:val="1"/>
          <w:numId w:val="11"/>
        </w:numPr>
        <w:spacing w:after="240"/>
        <w:jc w:val="both"/>
        <w:rPr>
          <w:rFonts w:cs="Arial"/>
        </w:rPr>
      </w:pPr>
      <w:r w:rsidRPr="00D75E37">
        <w:rPr>
          <w:rFonts w:cs="Arial"/>
        </w:rPr>
        <w:t xml:space="preserve">The </w:t>
      </w:r>
      <w:r w:rsidRPr="00086496">
        <w:rPr>
          <w:rFonts w:cs="Arial"/>
        </w:rPr>
        <w:t xml:space="preserve">Trust will ensure that </w:t>
      </w:r>
      <w:r w:rsidRPr="00D75E37">
        <w:rPr>
          <w:rFonts w:cs="Arial"/>
        </w:rPr>
        <w:t xml:space="preserve">anyone acting under </w:t>
      </w:r>
      <w:r w:rsidRPr="00086496">
        <w:rPr>
          <w:rFonts w:cs="Arial"/>
        </w:rPr>
        <w:t>its</w:t>
      </w:r>
      <w:r w:rsidRPr="00D75E37">
        <w:rPr>
          <w:rFonts w:cs="Arial"/>
        </w:rPr>
        <w:t xml:space="preserve"> authority with access to personal data </w:t>
      </w:r>
      <w:r w:rsidR="000D10FF" w:rsidRPr="00086496">
        <w:rPr>
          <w:rFonts w:cs="Arial"/>
        </w:rPr>
        <w:t>will only</w:t>
      </w:r>
      <w:r w:rsidRPr="00D75E37">
        <w:rPr>
          <w:rFonts w:cs="Arial"/>
        </w:rPr>
        <w:t xml:space="preserve"> process that data </w:t>
      </w:r>
      <w:r w:rsidR="000D10FF" w:rsidRPr="00086496">
        <w:rPr>
          <w:rFonts w:cs="Arial"/>
        </w:rPr>
        <w:t>where they have been</w:t>
      </w:r>
      <w:r w:rsidRPr="00D75E37">
        <w:rPr>
          <w:rFonts w:cs="Arial"/>
        </w:rPr>
        <w:t xml:space="preserve"> instructed</w:t>
      </w:r>
      <w:r w:rsidR="000D10FF" w:rsidRPr="00086496">
        <w:rPr>
          <w:rFonts w:cs="Arial"/>
        </w:rPr>
        <w:t xml:space="preserve"> or authorised</w:t>
      </w:r>
      <w:r w:rsidRPr="00D75E37">
        <w:rPr>
          <w:rFonts w:cs="Arial"/>
        </w:rPr>
        <w:t xml:space="preserve"> to do so. </w:t>
      </w:r>
      <w:r w:rsidR="000D10FF" w:rsidRPr="00086496">
        <w:rPr>
          <w:rFonts w:cs="Arial"/>
        </w:rPr>
        <w:t xml:space="preserve"> </w:t>
      </w:r>
      <w:r w:rsidRPr="00D75E37">
        <w:rPr>
          <w:rFonts w:cs="Arial"/>
        </w:rPr>
        <w:t>It is therefore vital that staff</w:t>
      </w:r>
      <w:r w:rsidR="00505818" w:rsidRPr="00086496">
        <w:rPr>
          <w:rFonts w:cs="Arial"/>
        </w:rPr>
        <w:t xml:space="preserve"> and other personnel </w:t>
      </w:r>
      <w:r w:rsidRPr="00D75E37">
        <w:rPr>
          <w:rFonts w:cs="Arial"/>
        </w:rPr>
        <w:t xml:space="preserve">understand the importance of protecting personal data, are familiar with </w:t>
      </w:r>
      <w:r w:rsidR="00505818" w:rsidRPr="00086496">
        <w:rPr>
          <w:rFonts w:cs="Arial"/>
        </w:rPr>
        <w:t xml:space="preserve">organisational </w:t>
      </w:r>
      <w:r w:rsidRPr="00D75E37">
        <w:rPr>
          <w:rFonts w:cs="Arial"/>
        </w:rPr>
        <w:t>polic</w:t>
      </w:r>
      <w:r w:rsidR="00505818" w:rsidRPr="00086496">
        <w:rPr>
          <w:rFonts w:cs="Arial"/>
        </w:rPr>
        <w:t>ies</w:t>
      </w:r>
      <w:r w:rsidRPr="00D75E37">
        <w:rPr>
          <w:rFonts w:cs="Arial"/>
        </w:rPr>
        <w:t xml:space="preserve"> and</w:t>
      </w:r>
      <w:r w:rsidR="00505818" w:rsidRPr="00086496">
        <w:rPr>
          <w:rFonts w:cs="Arial"/>
        </w:rPr>
        <w:t xml:space="preserve"> procedures relating to data security and protection and </w:t>
      </w:r>
      <w:r w:rsidRPr="00D75E37">
        <w:rPr>
          <w:rFonts w:cs="Arial"/>
        </w:rPr>
        <w:t xml:space="preserve">put </w:t>
      </w:r>
      <w:r w:rsidR="00505818" w:rsidRPr="00086496">
        <w:rPr>
          <w:rFonts w:cs="Arial"/>
        </w:rPr>
        <w:t>t</w:t>
      </w:r>
      <w:r w:rsidR="009B6162" w:rsidRPr="00086496">
        <w:rPr>
          <w:rFonts w:cs="Arial"/>
        </w:rPr>
        <w:t>hese</w:t>
      </w:r>
      <w:r w:rsidRPr="00D75E37">
        <w:rPr>
          <w:rFonts w:cs="Arial"/>
        </w:rPr>
        <w:t xml:space="preserve"> into practice.</w:t>
      </w:r>
      <w:r w:rsidR="009B6162" w:rsidRPr="00086496">
        <w:rPr>
          <w:rFonts w:cs="Arial"/>
        </w:rPr>
        <w:t xml:space="preserve">  To achieve this the Trust will</w:t>
      </w:r>
      <w:r w:rsidR="00086496" w:rsidRPr="00086496">
        <w:rPr>
          <w:rFonts w:cs="Arial"/>
        </w:rPr>
        <w:t xml:space="preserve"> ensure that</w:t>
      </w:r>
      <w:r w:rsidR="00A0247C">
        <w:rPr>
          <w:rFonts w:cs="Arial"/>
        </w:rPr>
        <w:t>:</w:t>
      </w:r>
    </w:p>
    <w:p w14:paraId="143270B7" w14:textId="50A4BC2B" w:rsidR="00EC1A50" w:rsidRPr="00562727" w:rsidRDefault="00A0247C" w:rsidP="00562727">
      <w:pPr>
        <w:numPr>
          <w:ilvl w:val="3"/>
          <w:numId w:val="37"/>
        </w:numPr>
        <w:spacing w:after="240"/>
        <w:ind w:left="1701"/>
        <w:jc w:val="both"/>
        <w:rPr>
          <w:rFonts w:cs="Arial"/>
          <w:bCs/>
        </w:rPr>
      </w:pPr>
      <w:r w:rsidRPr="00562727">
        <w:rPr>
          <w:rFonts w:cs="Arial"/>
          <w:bCs/>
        </w:rPr>
        <w:t xml:space="preserve">All contracts of employment will include a data protection and general confidentiality </w:t>
      </w:r>
      <w:proofErr w:type="gramStart"/>
      <w:r w:rsidRPr="00562727">
        <w:rPr>
          <w:rFonts w:cs="Arial"/>
          <w:bCs/>
        </w:rPr>
        <w:t>clause</w:t>
      </w:r>
      <w:r w:rsidR="0075377E" w:rsidRPr="00562727">
        <w:rPr>
          <w:rFonts w:cs="Arial"/>
          <w:bCs/>
        </w:rPr>
        <w:t>;</w:t>
      </w:r>
      <w:proofErr w:type="gramEnd"/>
    </w:p>
    <w:p w14:paraId="227EB760" w14:textId="64FD5196" w:rsidR="00A0247C" w:rsidRPr="00562727" w:rsidRDefault="00A0247C" w:rsidP="00562727">
      <w:pPr>
        <w:numPr>
          <w:ilvl w:val="3"/>
          <w:numId w:val="37"/>
        </w:numPr>
        <w:spacing w:after="240"/>
        <w:ind w:left="1701"/>
        <w:jc w:val="both"/>
        <w:rPr>
          <w:rFonts w:cs="Arial"/>
          <w:bCs/>
        </w:rPr>
      </w:pPr>
      <w:r w:rsidRPr="00562727">
        <w:rPr>
          <w:rFonts w:cs="Arial"/>
          <w:bCs/>
        </w:rPr>
        <w:t xml:space="preserve">Agency and non-contract staff working on behalf of the Trust will be subject to the same </w:t>
      </w:r>
      <w:r w:rsidR="00EC1A50" w:rsidRPr="00562727">
        <w:rPr>
          <w:rFonts w:cs="Arial"/>
          <w:bCs/>
        </w:rPr>
        <w:t xml:space="preserve">data protection and confidentiality </w:t>
      </w:r>
      <w:proofErr w:type="gramStart"/>
      <w:r w:rsidR="00EC1A50" w:rsidRPr="00562727">
        <w:rPr>
          <w:rFonts w:cs="Arial"/>
          <w:bCs/>
        </w:rPr>
        <w:t>obligation</w:t>
      </w:r>
      <w:r w:rsidR="0075377E" w:rsidRPr="00562727">
        <w:rPr>
          <w:rFonts w:cs="Arial"/>
          <w:bCs/>
        </w:rPr>
        <w:t>s;</w:t>
      </w:r>
      <w:proofErr w:type="gramEnd"/>
    </w:p>
    <w:p w14:paraId="0F6F2FE5" w14:textId="761B3466" w:rsidR="0075377E" w:rsidRPr="00562727" w:rsidRDefault="0075377E" w:rsidP="00562727">
      <w:pPr>
        <w:numPr>
          <w:ilvl w:val="3"/>
          <w:numId w:val="37"/>
        </w:numPr>
        <w:spacing w:after="240"/>
        <w:ind w:left="1701"/>
        <w:jc w:val="both"/>
        <w:rPr>
          <w:rFonts w:cs="Arial"/>
          <w:bCs/>
        </w:rPr>
      </w:pPr>
      <w:r w:rsidRPr="00562727">
        <w:rPr>
          <w:rFonts w:cs="Arial"/>
          <w:bCs/>
        </w:rPr>
        <w:t xml:space="preserve">Appropriate initial and refresher training is provided to all staff and other personnel acting under the authority of the </w:t>
      </w:r>
      <w:proofErr w:type="gramStart"/>
      <w:r w:rsidRPr="00562727">
        <w:rPr>
          <w:rFonts w:cs="Arial"/>
          <w:bCs/>
        </w:rPr>
        <w:t>Trust;</w:t>
      </w:r>
      <w:proofErr w:type="gramEnd"/>
    </w:p>
    <w:p w14:paraId="20935E93" w14:textId="5092391E" w:rsidR="00A0247C" w:rsidRPr="00562727" w:rsidRDefault="001236BD" w:rsidP="00562727">
      <w:pPr>
        <w:numPr>
          <w:ilvl w:val="3"/>
          <w:numId w:val="37"/>
        </w:numPr>
        <w:spacing w:after="240"/>
        <w:ind w:left="1701"/>
        <w:jc w:val="both"/>
        <w:rPr>
          <w:rFonts w:cs="Arial"/>
          <w:bCs/>
        </w:rPr>
      </w:pPr>
      <w:r w:rsidRPr="00562727">
        <w:rPr>
          <w:rFonts w:cs="Arial"/>
          <w:bCs/>
        </w:rPr>
        <w:t>B</w:t>
      </w:r>
      <w:r w:rsidR="00A0247C" w:rsidRPr="00562727">
        <w:rPr>
          <w:rFonts w:cs="Arial"/>
          <w:bCs/>
        </w:rPr>
        <w:t>reach</w:t>
      </w:r>
      <w:r w:rsidRPr="00562727">
        <w:rPr>
          <w:rFonts w:cs="Arial"/>
          <w:bCs/>
        </w:rPr>
        <w:t>es of data protection law, confidentiality,</w:t>
      </w:r>
      <w:r w:rsidR="00211553" w:rsidRPr="00562727">
        <w:rPr>
          <w:rFonts w:cs="Arial"/>
          <w:bCs/>
        </w:rPr>
        <w:t xml:space="preserve"> contracts,</w:t>
      </w:r>
      <w:r w:rsidRPr="00562727">
        <w:rPr>
          <w:rFonts w:cs="Arial"/>
          <w:bCs/>
        </w:rPr>
        <w:t xml:space="preserve"> Trust policy</w:t>
      </w:r>
      <w:r w:rsidR="00211553" w:rsidRPr="00562727">
        <w:rPr>
          <w:rFonts w:cs="Arial"/>
          <w:bCs/>
        </w:rPr>
        <w:t xml:space="preserve"> or </w:t>
      </w:r>
      <w:r w:rsidRPr="00562727">
        <w:rPr>
          <w:rFonts w:cs="Arial"/>
          <w:bCs/>
        </w:rPr>
        <w:t>pro</w:t>
      </w:r>
      <w:r w:rsidR="00211553" w:rsidRPr="00562727">
        <w:rPr>
          <w:rFonts w:cs="Arial"/>
          <w:bCs/>
        </w:rPr>
        <w:t xml:space="preserve">cedures </w:t>
      </w:r>
      <w:r w:rsidR="00BF794F" w:rsidRPr="00562727">
        <w:rPr>
          <w:rFonts w:cs="Arial"/>
          <w:bCs/>
        </w:rPr>
        <w:t xml:space="preserve">by those acting under the authority of the Trust </w:t>
      </w:r>
      <w:r w:rsidR="00211553" w:rsidRPr="00562727">
        <w:rPr>
          <w:rFonts w:cs="Arial"/>
          <w:bCs/>
        </w:rPr>
        <w:t xml:space="preserve">will be fully investigated and </w:t>
      </w:r>
      <w:r w:rsidR="00A0247C" w:rsidRPr="00562727">
        <w:rPr>
          <w:rFonts w:cs="Arial"/>
          <w:bCs/>
        </w:rPr>
        <w:t>may result in disciplinary action in accordance with Trust policy</w:t>
      </w:r>
      <w:r w:rsidR="00BF794F" w:rsidRPr="00562727">
        <w:rPr>
          <w:rFonts w:cs="Arial"/>
          <w:bCs/>
        </w:rPr>
        <w:t xml:space="preserve"> or </w:t>
      </w:r>
      <w:r w:rsidR="00FD34A2" w:rsidRPr="00562727">
        <w:rPr>
          <w:rFonts w:cs="Arial"/>
          <w:bCs/>
        </w:rPr>
        <w:t xml:space="preserve">the application of contractual sanctions </w:t>
      </w:r>
      <w:r w:rsidR="00C30589" w:rsidRPr="00562727">
        <w:rPr>
          <w:rFonts w:cs="Arial"/>
          <w:bCs/>
        </w:rPr>
        <w:t>as appropriate</w:t>
      </w:r>
      <w:r w:rsidR="00A0247C" w:rsidRPr="00562727">
        <w:rPr>
          <w:rFonts w:cs="Arial"/>
          <w:bCs/>
        </w:rPr>
        <w:t>.</w:t>
      </w:r>
    </w:p>
    <w:p w14:paraId="4F0C8DA5" w14:textId="5454AF5F" w:rsidR="00562727" w:rsidRDefault="006A083C" w:rsidP="00562727">
      <w:pPr>
        <w:numPr>
          <w:ilvl w:val="1"/>
          <w:numId w:val="11"/>
        </w:numPr>
        <w:spacing w:after="240"/>
        <w:jc w:val="both"/>
        <w:rPr>
          <w:rFonts w:cs="Arial"/>
        </w:rPr>
      </w:pPr>
      <w:r w:rsidRPr="124486BD">
        <w:rPr>
          <w:rFonts w:cs="Arial"/>
          <w:b/>
          <w:bCs/>
        </w:rPr>
        <w:t>Accountability</w:t>
      </w:r>
      <w:r w:rsidR="1AF62B78" w:rsidRPr="124486BD">
        <w:rPr>
          <w:rFonts w:cs="Arial"/>
          <w:b/>
          <w:bCs/>
        </w:rPr>
        <w:t xml:space="preserve"> and records of processing</w:t>
      </w:r>
      <w:r w:rsidRPr="124486BD">
        <w:rPr>
          <w:rFonts w:cs="Arial"/>
        </w:rPr>
        <w:t xml:space="preserve">.  The controller shall be responsible </w:t>
      </w:r>
      <w:r w:rsidR="002B6F00" w:rsidRPr="124486BD">
        <w:rPr>
          <w:rFonts w:cs="Arial"/>
        </w:rPr>
        <w:t>for and</w:t>
      </w:r>
      <w:r w:rsidRPr="124486BD">
        <w:rPr>
          <w:rFonts w:cs="Arial"/>
        </w:rPr>
        <w:t xml:space="preserve"> be able to demonstrate compliance with the data protection principles.</w:t>
      </w:r>
    </w:p>
    <w:p w14:paraId="7A2E6C38" w14:textId="77777777" w:rsidR="00562727" w:rsidRDefault="00DE3D5B" w:rsidP="00562727">
      <w:pPr>
        <w:numPr>
          <w:ilvl w:val="1"/>
          <w:numId w:val="11"/>
        </w:numPr>
        <w:spacing w:after="240"/>
        <w:jc w:val="both"/>
        <w:rPr>
          <w:rFonts w:cs="Arial"/>
        </w:rPr>
      </w:pPr>
      <w:r w:rsidRPr="124486BD">
        <w:rPr>
          <w:rFonts w:cs="Arial"/>
        </w:rPr>
        <w:t>The accountability principle requires the Trust to take responsibility for what it does with personal data and how it complies with the other principles.</w:t>
      </w:r>
    </w:p>
    <w:p w14:paraId="3A4BC5C2" w14:textId="325BEA0A" w:rsidR="00562727" w:rsidRDefault="7F0BEAF1" w:rsidP="00562727">
      <w:pPr>
        <w:numPr>
          <w:ilvl w:val="1"/>
          <w:numId w:val="11"/>
        </w:numPr>
        <w:spacing w:after="240"/>
        <w:jc w:val="both"/>
        <w:rPr>
          <w:rFonts w:cs="Arial"/>
        </w:rPr>
      </w:pPr>
      <w:r w:rsidRPr="124486BD">
        <w:rPr>
          <w:rFonts w:cs="Arial"/>
        </w:rPr>
        <w:t xml:space="preserve">Records of data access decisions, approvals and </w:t>
      </w:r>
      <w:r w:rsidR="30E2B113" w:rsidRPr="124486BD">
        <w:rPr>
          <w:rFonts w:cs="Arial"/>
        </w:rPr>
        <w:t>conditions applied to data reuse.</w:t>
      </w:r>
      <w:r w:rsidR="294F3D62" w:rsidRPr="124486BD">
        <w:rPr>
          <w:rFonts w:cs="Arial"/>
        </w:rPr>
        <w:t xml:space="preserve"> Documentation relating to secure data access environments and controls. </w:t>
      </w:r>
      <w:r w:rsidR="6A1D4D15" w:rsidRPr="124486BD">
        <w:rPr>
          <w:rFonts w:cs="Arial"/>
        </w:rPr>
        <w:t xml:space="preserve">Data sharing or access arrangements established under </w:t>
      </w:r>
      <w:r w:rsidR="088DD747" w:rsidRPr="124486BD">
        <w:rPr>
          <w:rFonts w:cs="Arial"/>
        </w:rPr>
        <w:t xml:space="preserve">data protection legislation and </w:t>
      </w:r>
      <w:r w:rsidR="6A1D4D15" w:rsidRPr="124486BD">
        <w:rPr>
          <w:rFonts w:cs="Arial"/>
        </w:rPr>
        <w:t>the Data Use and Access Act 2025.</w:t>
      </w:r>
      <w:r w:rsidR="0028242A" w:rsidRPr="124486BD">
        <w:rPr>
          <w:rFonts w:cs="Arial"/>
        </w:rPr>
        <w:t xml:space="preserve">The Trust will </w:t>
      </w:r>
      <w:r w:rsidR="00D044BD" w:rsidRPr="124486BD">
        <w:rPr>
          <w:rFonts w:cs="Arial"/>
        </w:rPr>
        <w:t>appoint a Data Protection Officer (DPO) to monitor internal compliance, inform and advise on data protection obligations, provide advice regarding Data Protection Impact Assessments (DPIAs)</w:t>
      </w:r>
      <w:r w:rsidR="002B6F00" w:rsidRPr="124486BD">
        <w:rPr>
          <w:rFonts w:cs="Arial"/>
        </w:rPr>
        <w:t xml:space="preserve">, </w:t>
      </w:r>
      <w:r w:rsidR="00D044BD" w:rsidRPr="124486BD">
        <w:rPr>
          <w:rFonts w:cs="Arial"/>
        </w:rPr>
        <w:t>act as a contact point for data subjects and the Information Commissioner’s Office (ICO).</w:t>
      </w:r>
      <w:r w:rsidR="00F94B6E" w:rsidRPr="124486BD">
        <w:rPr>
          <w:rFonts w:cs="Arial"/>
        </w:rPr>
        <w:t xml:space="preserve">  The DPO will be independent, an expert in data protection, adequately resourced, and report to the highest management level.</w:t>
      </w:r>
    </w:p>
    <w:p w14:paraId="07E589C7" w14:textId="22F8B530" w:rsidR="00DE3D5B" w:rsidRPr="00562727" w:rsidRDefault="00DE3D5B" w:rsidP="00562727">
      <w:pPr>
        <w:numPr>
          <w:ilvl w:val="1"/>
          <w:numId w:val="11"/>
        </w:numPr>
        <w:spacing w:after="240"/>
        <w:jc w:val="both"/>
        <w:rPr>
          <w:rFonts w:cs="Arial"/>
        </w:rPr>
      </w:pPr>
      <w:r w:rsidRPr="00562727">
        <w:rPr>
          <w:rFonts w:cs="Arial"/>
        </w:rPr>
        <w:t xml:space="preserve">The Trust will maintain appropriate measures and records to </w:t>
      </w:r>
      <w:r w:rsidR="00416FBF" w:rsidRPr="00562727">
        <w:rPr>
          <w:rFonts w:cs="Arial"/>
        </w:rPr>
        <w:t xml:space="preserve">ensure it is </w:t>
      </w:r>
      <w:r w:rsidRPr="00562727">
        <w:rPr>
          <w:rFonts w:cs="Arial"/>
        </w:rPr>
        <w:t>able to demonstrate compliance</w:t>
      </w:r>
      <w:r w:rsidR="00416FBF" w:rsidRPr="00562727">
        <w:rPr>
          <w:rFonts w:cs="Arial"/>
        </w:rPr>
        <w:t xml:space="preserve"> with the data protection principles</w:t>
      </w:r>
      <w:r w:rsidRPr="00562727">
        <w:rPr>
          <w:rFonts w:cs="Arial"/>
        </w:rPr>
        <w:t>.</w:t>
      </w:r>
      <w:r w:rsidR="00206EC0" w:rsidRPr="00562727">
        <w:rPr>
          <w:rFonts w:cs="Arial"/>
        </w:rPr>
        <w:t xml:space="preserve">  These will include</w:t>
      </w:r>
      <w:r w:rsidR="00033693" w:rsidRPr="00562727">
        <w:rPr>
          <w:rFonts w:cs="Arial"/>
        </w:rPr>
        <w:t xml:space="preserve"> (but not limited to)</w:t>
      </w:r>
      <w:r w:rsidR="00206EC0" w:rsidRPr="00562727">
        <w:rPr>
          <w:rFonts w:cs="Arial"/>
        </w:rPr>
        <w:t>:</w:t>
      </w:r>
    </w:p>
    <w:p w14:paraId="02114402" w14:textId="45515909" w:rsidR="00F227D4" w:rsidRPr="00562727" w:rsidRDefault="00D47287" w:rsidP="4BE60562">
      <w:pPr>
        <w:numPr>
          <w:ilvl w:val="3"/>
          <w:numId w:val="37"/>
        </w:numPr>
        <w:spacing w:after="240"/>
        <w:ind w:left="1701"/>
        <w:jc w:val="both"/>
        <w:rPr>
          <w:rFonts w:cs="Arial"/>
        </w:rPr>
      </w:pPr>
      <w:r w:rsidRPr="4BE60562">
        <w:rPr>
          <w:rFonts w:cs="Arial"/>
        </w:rPr>
        <w:t>Maintaining a current registration with the Information Commissioner’s Officer (ICO) in accordance with the requirements of the</w:t>
      </w:r>
      <w:r w:rsidR="002B6F00" w:rsidRPr="4BE60562">
        <w:rPr>
          <w:rFonts w:cs="Arial"/>
        </w:rPr>
        <w:t xml:space="preserve"> UK</w:t>
      </w:r>
      <w:r w:rsidRPr="4BE60562">
        <w:rPr>
          <w:rFonts w:cs="Arial"/>
        </w:rPr>
        <w:t xml:space="preserve"> </w:t>
      </w:r>
      <w:r w:rsidR="002B6F00" w:rsidRPr="4BE60562">
        <w:rPr>
          <w:rFonts w:cs="Arial"/>
        </w:rPr>
        <w:t>Data Protection legislation.</w:t>
      </w:r>
      <w:r w:rsidR="00162249" w:rsidRPr="4BE60562">
        <w:rPr>
          <w:rFonts w:cs="Arial"/>
        </w:rPr>
        <w:t xml:space="preserve"> </w:t>
      </w:r>
    </w:p>
    <w:p w14:paraId="578954CF" w14:textId="23E0CC7B" w:rsidR="00206EC0" w:rsidRPr="00562727" w:rsidRDefault="00206EC0" w:rsidP="00562727">
      <w:pPr>
        <w:numPr>
          <w:ilvl w:val="3"/>
          <w:numId w:val="37"/>
        </w:numPr>
        <w:spacing w:after="240"/>
        <w:ind w:left="1701"/>
        <w:jc w:val="both"/>
        <w:rPr>
          <w:rFonts w:cs="Arial"/>
          <w:bCs/>
        </w:rPr>
      </w:pPr>
      <w:r w:rsidRPr="00562727">
        <w:rPr>
          <w:rFonts w:cs="Arial"/>
          <w:bCs/>
        </w:rPr>
        <w:t xml:space="preserve">Policies and </w:t>
      </w:r>
      <w:proofErr w:type="gramStart"/>
      <w:r w:rsidRPr="00562727">
        <w:rPr>
          <w:rFonts w:cs="Arial"/>
          <w:bCs/>
        </w:rPr>
        <w:t>procedures;</w:t>
      </w:r>
      <w:proofErr w:type="gramEnd"/>
    </w:p>
    <w:p w14:paraId="272FB7A4" w14:textId="1EB0DDE5" w:rsidR="00DC7EC1" w:rsidRPr="00562727" w:rsidRDefault="00B46A7F" w:rsidP="00562727">
      <w:pPr>
        <w:numPr>
          <w:ilvl w:val="3"/>
          <w:numId w:val="37"/>
        </w:numPr>
        <w:spacing w:after="240"/>
        <w:ind w:left="1701"/>
        <w:jc w:val="both"/>
        <w:rPr>
          <w:rFonts w:cs="Arial"/>
          <w:bCs/>
        </w:rPr>
      </w:pPr>
      <w:r w:rsidRPr="00562727">
        <w:rPr>
          <w:rFonts w:cs="Arial"/>
          <w:bCs/>
        </w:rPr>
        <w:t xml:space="preserve">Transparency materials including a Privacy </w:t>
      </w:r>
      <w:proofErr w:type="gramStart"/>
      <w:r w:rsidRPr="00562727">
        <w:rPr>
          <w:rFonts w:cs="Arial"/>
          <w:bCs/>
        </w:rPr>
        <w:t>Notice;</w:t>
      </w:r>
      <w:proofErr w:type="gramEnd"/>
    </w:p>
    <w:p w14:paraId="1A94CA7D" w14:textId="4B5FDA03" w:rsidR="00206EC0" w:rsidRPr="00562727" w:rsidRDefault="00D47181" w:rsidP="00562727">
      <w:pPr>
        <w:numPr>
          <w:ilvl w:val="3"/>
          <w:numId w:val="37"/>
        </w:numPr>
        <w:spacing w:after="240"/>
        <w:ind w:left="1701"/>
        <w:jc w:val="both"/>
        <w:rPr>
          <w:rFonts w:cs="Arial"/>
          <w:bCs/>
        </w:rPr>
      </w:pPr>
      <w:r w:rsidRPr="00562727">
        <w:rPr>
          <w:rFonts w:cs="Arial"/>
          <w:bCs/>
        </w:rPr>
        <w:t>Records of processing activities</w:t>
      </w:r>
      <w:r w:rsidR="00A16369" w:rsidRPr="00562727">
        <w:rPr>
          <w:rFonts w:cs="Arial"/>
          <w:bCs/>
        </w:rPr>
        <w:t xml:space="preserve"> which include:</w:t>
      </w:r>
    </w:p>
    <w:p w14:paraId="763F3716" w14:textId="3D06DBAF" w:rsidR="00A16369" w:rsidRPr="00562727" w:rsidRDefault="00A16369" w:rsidP="00562727">
      <w:pPr>
        <w:pStyle w:val="ListParagraph"/>
        <w:numPr>
          <w:ilvl w:val="0"/>
          <w:numId w:val="40"/>
        </w:numPr>
        <w:spacing w:after="240"/>
        <w:jc w:val="both"/>
        <w:rPr>
          <w:rFonts w:cs="Arial"/>
          <w:bCs/>
        </w:rPr>
      </w:pPr>
      <w:r w:rsidRPr="00562727">
        <w:rPr>
          <w:rFonts w:cs="Arial"/>
          <w:bCs/>
        </w:rPr>
        <w:t xml:space="preserve">The purposes of your </w:t>
      </w:r>
      <w:proofErr w:type="gramStart"/>
      <w:r w:rsidRPr="00562727">
        <w:rPr>
          <w:rFonts w:cs="Arial"/>
          <w:bCs/>
        </w:rPr>
        <w:t>processing</w:t>
      </w:r>
      <w:r w:rsidR="00DF4E4E" w:rsidRPr="00562727">
        <w:rPr>
          <w:rFonts w:cs="Arial"/>
          <w:bCs/>
        </w:rPr>
        <w:t>;</w:t>
      </w:r>
      <w:proofErr w:type="gramEnd"/>
    </w:p>
    <w:p w14:paraId="72314744" w14:textId="22882152" w:rsidR="00A16369" w:rsidRPr="00562727" w:rsidRDefault="00A16369" w:rsidP="00562727">
      <w:pPr>
        <w:pStyle w:val="ListParagraph"/>
        <w:numPr>
          <w:ilvl w:val="0"/>
          <w:numId w:val="40"/>
        </w:numPr>
        <w:spacing w:after="240"/>
        <w:jc w:val="both"/>
        <w:rPr>
          <w:rFonts w:cs="Arial"/>
          <w:bCs/>
        </w:rPr>
      </w:pPr>
      <w:r w:rsidRPr="00562727">
        <w:rPr>
          <w:rFonts w:cs="Arial"/>
          <w:bCs/>
        </w:rPr>
        <w:t xml:space="preserve">A description of the categories of individuals and categories of personal </w:t>
      </w:r>
      <w:proofErr w:type="gramStart"/>
      <w:r w:rsidRPr="00562727">
        <w:rPr>
          <w:rFonts w:cs="Arial"/>
          <w:bCs/>
        </w:rPr>
        <w:t>data</w:t>
      </w:r>
      <w:r w:rsidR="00DF4E4E" w:rsidRPr="00562727">
        <w:rPr>
          <w:rFonts w:cs="Arial"/>
          <w:bCs/>
        </w:rPr>
        <w:t>;</w:t>
      </w:r>
      <w:proofErr w:type="gramEnd"/>
    </w:p>
    <w:p w14:paraId="6787FAB4" w14:textId="6E6CF56C" w:rsidR="00A16369" w:rsidRPr="00562727" w:rsidRDefault="00A16369" w:rsidP="00562727">
      <w:pPr>
        <w:pStyle w:val="ListParagraph"/>
        <w:numPr>
          <w:ilvl w:val="0"/>
          <w:numId w:val="40"/>
        </w:numPr>
        <w:spacing w:after="240"/>
        <w:jc w:val="both"/>
        <w:rPr>
          <w:rFonts w:cs="Arial"/>
          <w:bCs/>
        </w:rPr>
      </w:pPr>
      <w:r w:rsidRPr="00562727">
        <w:rPr>
          <w:rFonts w:cs="Arial"/>
          <w:bCs/>
        </w:rPr>
        <w:t xml:space="preserve">The categories of recipients of personal </w:t>
      </w:r>
      <w:r w:rsidR="002B6F00" w:rsidRPr="00562727">
        <w:rPr>
          <w:rFonts w:cs="Arial"/>
          <w:bCs/>
        </w:rPr>
        <w:t>data.</w:t>
      </w:r>
    </w:p>
    <w:p w14:paraId="66A9C718" w14:textId="088EC18D" w:rsidR="00A16369" w:rsidRPr="00562727" w:rsidRDefault="00A16369" w:rsidP="00562727">
      <w:pPr>
        <w:pStyle w:val="ListParagraph"/>
        <w:numPr>
          <w:ilvl w:val="0"/>
          <w:numId w:val="40"/>
        </w:numPr>
        <w:spacing w:after="240"/>
        <w:jc w:val="both"/>
        <w:rPr>
          <w:rFonts w:cs="Arial"/>
          <w:bCs/>
        </w:rPr>
      </w:pPr>
      <w:r w:rsidRPr="00562727">
        <w:rPr>
          <w:rFonts w:cs="Arial"/>
          <w:bCs/>
        </w:rPr>
        <w:t xml:space="preserve">Details of </w:t>
      </w:r>
      <w:r w:rsidR="00DF4E4E" w:rsidRPr="00562727">
        <w:rPr>
          <w:rFonts w:cs="Arial"/>
          <w:bCs/>
        </w:rPr>
        <w:t>any</w:t>
      </w:r>
      <w:r w:rsidRPr="00562727">
        <w:rPr>
          <w:rFonts w:cs="Arial"/>
          <w:bCs/>
        </w:rPr>
        <w:t xml:space="preserve"> transfers to third countries including documenting the transfer mechanism safeguards in </w:t>
      </w:r>
      <w:proofErr w:type="gramStart"/>
      <w:r w:rsidRPr="00562727">
        <w:rPr>
          <w:rFonts w:cs="Arial"/>
          <w:bCs/>
        </w:rPr>
        <w:t>place</w:t>
      </w:r>
      <w:r w:rsidR="00B9764E" w:rsidRPr="00562727">
        <w:rPr>
          <w:rFonts w:cs="Arial"/>
          <w:bCs/>
        </w:rPr>
        <w:t>;</w:t>
      </w:r>
      <w:proofErr w:type="gramEnd"/>
    </w:p>
    <w:p w14:paraId="1A47DFA7" w14:textId="4FE322F1" w:rsidR="00A16369" w:rsidRPr="00562727" w:rsidRDefault="00A16369" w:rsidP="00562727">
      <w:pPr>
        <w:pStyle w:val="ListParagraph"/>
        <w:numPr>
          <w:ilvl w:val="0"/>
          <w:numId w:val="40"/>
        </w:numPr>
        <w:spacing w:after="240"/>
        <w:jc w:val="both"/>
        <w:rPr>
          <w:rFonts w:cs="Arial"/>
          <w:bCs/>
        </w:rPr>
      </w:pPr>
      <w:r w:rsidRPr="00562727">
        <w:rPr>
          <w:rFonts w:cs="Arial"/>
          <w:bCs/>
        </w:rPr>
        <w:t>Retention schedules</w:t>
      </w:r>
      <w:r w:rsidR="00B9764E" w:rsidRPr="00562727">
        <w:rPr>
          <w:rFonts w:cs="Arial"/>
          <w:bCs/>
        </w:rPr>
        <w:t>; and</w:t>
      </w:r>
    </w:p>
    <w:p w14:paraId="525BCDC7" w14:textId="4E956DB5" w:rsidR="00A16369" w:rsidRPr="00562727" w:rsidRDefault="00A16369" w:rsidP="00562727">
      <w:pPr>
        <w:pStyle w:val="ListParagraph"/>
        <w:numPr>
          <w:ilvl w:val="0"/>
          <w:numId w:val="40"/>
        </w:numPr>
        <w:spacing w:after="240"/>
        <w:jc w:val="both"/>
        <w:rPr>
          <w:rFonts w:cs="Arial"/>
          <w:bCs/>
        </w:rPr>
      </w:pPr>
      <w:r w:rsidRPr="00562727">
        <w:rPr>
          <w:rFonts w:cs="Arial"/>
          <w:bCs/>
        </w:rPr>
        <w:t xml:space="preserve">A description of </w:t>
      </w:r>
      <w:r w:rsidR="00B9764E" w:rsidRPr="00562727">
        <w:rPr>
          <w:rFonts w:cs="Arial"/>
          <w:bCs/>
        </w:rPr>
        <w:t>the</w:t>
      </w:r>
      <w:r w:rsidRPr="00562727">
        <w:rPr>
          <w:rFonts w:cs="Arial"/>
          <w:bCs/>
        </w:rPr>
        <w:t xml:space="preserve"> technical and organisational security measures.</w:t>
      </w:r>
    </w:p>
    <w:p w14:paraId="57F2A69E" w14:textId="3E1F7B7F" w:rsidR="00E0126A" w:rsidRPr="00562727" w:rsidRDefault="00E0126A" w:rsidP="00562727">
      <w:pPr>
        <w:pStyle w:val="ListParagraph"/>
        <w:numPr>
          <w:ilvl w:val="0"/>
          <w:numId w:val="40"/>
        </w:numPr>
        <w:spacing w:after="240"/>
        <w:jc w:val="both"/>
        <w:rPr>
          <w:rFonts w:cs="Arial"/>
          <w:bCs/>
        </w:rPr>
      </w:pPr>
      <w:r w:rsidRPr="00562727">
        <w:rPr>
          <w:rFonts w:cs="Arial"/>
          <w:bCs/>
        </w:rPr>
        <w:t>Records of consent (where this is the lawful basis relied upon</w:t>
      </w:r>
      <w:r w:rsidR="00714CAE" w:rsidRPr="00562727">
        <w:rPr>
          <w:rFonts w:cs="Arial"/>
          <w:bCs/>
        </w:rPr>
        <w:t xml:space="preserve"> to process personal data</w:t>
      </w:r>
      <w:proofErr w:type="gramStart"/>
      <w:r w:rsidR="00714CAE" w:rsidRPr="00562727">
        <w:rPr>
          <w:rFonts w:cs="Arial"/>
          <w:bCs/>
        </w:rPr>
        <w:t>);</w:t>
      </w:r>
      <w:proofErr w:type="gramEnd"/>
    </w:p>
    <w:p w14:paraId="59F231E6" w14:textId="77777777" w:rsidR="00090C00" w:rsidRPr="00562727" w:rsidRDefault="00090C00" w:rsidP="00562727">
      <w:pPr>
        <w:pStyle w:val="ListParagraph"/>
        <w:numPr>
          <w:ilvl w:val="0"/>
          <w:numId w:val="40"/>
        </w:numPr>
        <w:spacing w:after="240"/>
        <w:jc w:val="both"/>
        <w:rPr>
          <w:rFonts w:cs="Arial"/>
          <w:bCs/>
        </w:rPr>
      </w:pPr>
      <w:r w:rsidRPr="00562727">
        <w:rPr>
          <w:rFonts w:cs="Arial"/>
          <w:bCs/>
        </w:rPr>
        <w:t>Data Protection Impact Assessments (DPIAs</w:t>
      </w:r>
      <w:proofErr w:type="gramStart"/>
      <w:r w:rsidRPr="00562727">
        <w:rPr>
          <w:rFonts w:cs="Arial"/>
          <w:bCs/>
        </w:rPr>
        <w:t>);</w:t>
      </w:r>
      <w:proofErr w:type="gramEnd"/>
    </w:p>
    <w:p w14:paraId="61C5DD48" w14:textId="7233FA96" w:rsidR="007F0CE9" w:rsidRPr="00562727" w:rsidRDefault="007F0CE9" w:rsidP="00562727">
      <w:pPr>
        <w:pStyle w:val="ListParagraph"/>
        <w:numPr>
          <w:ilvl w:val="0"/>
          <w:numId w:val="40"/>
        </w:numPr>
        <w:spacing w:after="240"/>
        <w:jc w:val="both"/>
        <w:rPr>
          <w:rFonts w:cs="Arial"/>
          <w:bCs/>
        </w:rPr>
      </w:pPr>
      <w:r w:rsidRPr="00562727">
        <w:rPr>
          <w:rFonts w:cs="Arial"/>
          <w:bCs/>
        </w:rPr>
        <w:t xml:space="preserve">Employment </w:t>
      </w:r>
      <w:proofErr w:type="gramStart"/>
      <w:r w:rsidRPr="00562727">
        <w:rPr>
          <w:rFonts w:cs="Arial"/>
          <w:bCs/>
        </w:rPr>
        <w:t>Contracts;</w:t>
      </w:r>
      <w:proofErr w:type="gramEnd"/>
    </w:p>
    <w:p w14:paraId="3135895F" w14:textId="1CBB8ABB" w:rsidR="00D47181" w:rsidRPr="00562727" w:rsidRDefault="00090C00" w:rsidP="00562727">
      <w:pPr>
        <w:pStyle w:val="ListParagraph"/>
        <w:numPr>
          <w:ilvl w:val="0"/>
          <w:numId w:val="40"/>
        </w:numPr>
        <w:spacing w:after="240"/>
        <w:jc w:val="both"/>
        <w:rPr>
          <w:rFonts w:cs="Arial"/>
          <w:bCs/>
        </w:rPr>
      </w:pPr>
      <w:r w:rsidRPr="00562727">
        <w:rPr>
          <w:rFonts w:cs="Arial"/>
          <w:bCs/>
        </w:rPr>
        <w:t xml:space="preserve">Controller-Processor </w:t>
      </w:r>
      <w:proofErr w:type="gramStart"/>
      <w:r w:rsidR="0026455F" w:rsidRPr="00562727">
        <w:rPr>
          <w:rFonts w:cs="Arial"/>
          <w:bCs/>
        </w:rPr>
        <w:t>Contracts;</w:t>
      </w:r>
      <w:proofErr w:type="gramEnd"/>
    </w:p>
    <w:p w14:paraId="03F1CC9E" w14:textId="23CC9920" w:rsidR="00090C00" w:rsidRPr="00562727" w:rsidRDefault="00090C00" w:rsidP="00562727">
      <w:pPr>
        <w:pStyle w:val="ListParagraph"/>
        <w:numPr>
          <w:ilvl w:val="0"/>
          <w:numId w:val="40"/>
        </w:numPr>
        <w:spacing w:after="240"/>
        <w:jc w:val="both"/>
        <w:rPr>
          <w:rFonts w:cs="Arial"/>
          <w:bCs/>
        </w:rPr>
      </w:pPr>
      <w:r w:rsidRPr="00562727">
        <w:rPr>
          <w:rFonts w:cs="Arial"/>
          <w:bCs/>
        </w:rPr>
        <w:t>Controller</w:t>
      </w:r>
      <w:r w:rsidR="00194245" w:rsidRPr="00562727">
        <w:rPr>
          <w:rFonts w:cs="Arial"/>
          <w:bCs/>
        </w:rPr>
        <w:t xml:space="preserve">-Controller Information Sharing Agreements and Joint Data Controller </w:t>
      </w:r>
      <w:proofErr w:type="gramStart"/>
      <w:r w:rsidR="00194245" w:rsidRPr="00562727">
        <w:rPr>
          <w:rFonts w:cs="Arial"/>
          <w:bCs/>
        </w:rPr>
        <w:t>Agreements;</w:t>
      </w:r>
      <w:proofErr w:type="gramEnd"/>
    </w:p>
    <w:p w14:paraId="236A4611" w14:textId="00FD9758" w:rsidR="00033693" w:rsidRPr="00562727" w:rsidRDefault="00033693" w:rsidP="4BE60562">
      <w:pPr>
        <w:pStyle w:val="ListParagraph"/>
        <w:numPr>
          <w:ilvl w:val="0"/>
          <w:numId w:val="40"/>
        </w:numPr>
        <w:spacing w:after="240"/>
        <w:jc w:val="both"/>
        <w:rPr>
          <w:rFonts w:cs="Arial"/>
        </w:rPr>
      </w:pPr>
      <w:r w:rsidRPr="124486BD">
        <w:rPr>
          <w:rFonts w:cs="Arial"/>
        </w:rPr>
        <w:t xml:space="preserve">An annual </w:t>
      </w:r>
      <w:r w:rsidR="00AD2EEA" w:rsidRPr="124486BD">
        <w:rPr>
          <w:rFonts w:cs="Arial"/>
        </w:rPr>
        <w:t xml:space="preserve">satisfactory </w:t>
      </w:r>
      <w:r w:rsidR="47E82A21" w:rsidRPr="124486BD">
        <w:rPr>
          <w:rFonts w:cs="Arial"/>
        </w:rPr>
        <w:t xml:space="preserve">CAF / </w:t>
      </w:r>
      <w:r w:rsidR="00AD2EEA" w:rsidRPr="124486BD">
        <w:rPr>
          <w:rFonts w:cs="Arial"/>
        </w:rPr>
        <w:t xml:space="preserve">Data Security and Protection Toolkit </w:t>
      </w:r>
      <w:proofErr w:type="gramStart"/>
      <w:r w:rsidRPr="124486BD">
        <w:rPr>
          <w:rFonts w:cs="Arial"/>
        </w:rPr>
        <w:t>submission;</w:t>
      </w:r>
      <w:proofErr w:type="gramEnd"/>
    </w:p>
    <w:p w14:paraId="4E96ECE2" w14:textId="6BCB587C" w:rsidR="00033693" w:rsidRPr="00562727" w:rsidRDefault="0066284A" w:rsidP="00562727">
      <w:pPr>
        <w:pStyle w:val="ListParagraph"/>
        <w:numPr>
          <w:ilvl w:val="0"/>
          <w:numId w:val="40"/>
        </w:numPr>
        <w:spacing w:after="240"/>
        <w:jc w:val="both"/>
        <w:rPr>
          <w:rFonts w:cs="Arial"/>
          <w:bCs/>
        </w:rPr>
      </w:pPr>
      <w:r w:rsidRPr="00562727">
        <w:rPr>
          <w:rFonts w:cs="Arial"/>
          <w:bCs/>
        </w:rPr>
        <w:t>Training records</w:t>
      </w:r>
      <w:r w:rsidR="00714CAE" w:rsidRPr="00562727">
        <w:rPr>
          <w:rFonts w:cs="Arial"/>
          <w:bCs/>
        </w:rPr>
        <w:t>; and</w:t>
      </w:r>
    </w:p>
    <w:p w14:paraId="0E9E7566" w14:textId="6E81C6B2" w:rsidR="00714CAE" w:rsidRPr="00562727" w:rsidRDefault="0034279D" w:rsidP="3B2B9009">
      <w:pPr>
        <w:pStyle w:val="ListParagraph"/>
        <w:numPr>
          <w:ilvl w:val="0"/>
          <w:numId w:val="40"/>
        </w:numPr>
        <w:spacing w:after="240"/>
        <w:jc w:val="both"/>
        <w:rPr>
          <w:rFonts w:cs="Arial"/>
        </w:rPr>
      </w:pPr>
      <w:r w:rsidRPr="124486BD">
        <w:rPr>
          <w:rFonts w:cs="Arial"/>
        </w:rPr>
        <w:t>Records of data breaches and near misses.</w:t>
      </w:r>
    </w:p>
    <w:p w14:paraId="16B90A0C" w14:textId="771F0769" w:rsidR="4BE60562" w:rsidRDefault="4BE60562" w:rsidP="124486BD">
      <w:pPr>
        <w:pStyle w:val="ListParagraph"/>
        <w:spacing w:after="240"/>
        <w:ind w:left="2061"/>
        <w:jc w:val="both"/>
        <w:rPr>
          <w:rFonts w:cs="Arial"/>
        </w:rPr>
      </w:pPr>
    </w:p>
    <w:p w14:paraId="4BA98740" w14:textId="72156161" w:rsidR="3B2B9009" w:rsidRDefault="3B2B9009" w:rsidP="124486BD">
      <w:pPr>
        <w:pStyle w:val="ListParagraph"/>
        <w:spacing w:after="240"/>
        <w:ind w:left="2061"/>
        <w:jc w:val="both"/>
        <w:rPr>
          <w:rFonts w:cs="Arial"/>
        </w:rPr>
      </w:pPr>
    </w:p>
    <w:p w14:paraId="74CD0D85" w14:textId="4F554FE9" w:rsidR="009F48CC" w:rsidRPr="009F48CC" w:rsidRDefault="004E5698" w:rsidP="00562727">
      <w:pPr>
        <w:numPr>
          <w:ilvl w:val="1"/>
          <w:numId w:val="11"/>
        </w:numPr>
        <w:spacing w:after="240"/>
        <w:jc w:val="both"/>
        <w:rPr>
          <w:rFonts w:cs="Arial"/>
        </w:rPr>
      </w:pPr>
      <w:r w:rsidRPr="0026386B">
        <w:rPr>
          <w:rFonts w:cs="Arial"/>
        </w:rPr>
        <w:t xml:space="preserve">To ensure accountability and responsibility for </w:t>
      </w:r>
      <w:r w:rsidR="0026386B">
        <w:rPr>
          <w:rFonts w:cs="Arial"/>
        </w:rPr>
        <w:t xml:space="preserve">the management and security of </w:t>
      </w:r>
      <w:r w:rsidRPr="0026386B">
        <w:rPr>
          <w:rFonts w:cs="Arial"/>
        </w:rPr>
        <w:t xml:space="preserve">data </w:t>
      </w:r>
      <w:r w:rsidR="0026386B">
        <w:rPr>
          <w:rFonts w:cs="Arial"/>
        </w:rPr>
        <w:t xml:space="preserve">is maintained the Trust will operate an Information Risk Management </w:t>
      </w:r>
      <w:r w:rsidR="008420F4">
        <w:rPr>
          <w:rFonts w:cs="Arial"/>
        </w:rPr>
        <w:t>F</w:t>
      </w:r>
      <w:r w:rsidR="0026386B">
        <w:rPr>
          <w:rFonts w:cs="Arial"/>
        </w:rPr>
        <w:t>ramework</w:t>
      </w:r>
      <w:r w:rsidR="00BE21B9">
        <w:rPr>
          <w:rFonts w:cs="Arial"/>
        </w:rPr>
        <w:t xml:space="preserve"> headed by a Senior Information Risk Owner (SIRO)</w:t>
      </w:r>
      <w:r w:rsidR="008420F4">
        <w:rPr>
          <w:rFonts w:cs="Arial"/>
        </w:rPr>
        <w:t xml:space="preserve">.  This will </w:t>
      </w:r>
      <w:r w:rsidR="0026386B">
        <w:rPr>
          <w:rFonts w:cs="Arial"/>
        </w:rPr>
        <w:t>ensure</w:t>
      </w:r>
      <w:r w:rsidR="008420F4">
        <w:rPr>
          <w:rFonts w:cs="Arial"/>
        </w:rPr>
        <w:t xml:space="preserve"> that</w:t>
      </w:r>
      <w:r w:rsidR="0026386B">
        <w:rPr>
          <w:rFonts w:cs="Arial"/>
        </w:rPr>
        <w:t xml:space="preserve"> </w:t>
      </w:r>
      <w:r w:rsidR="008420F4">
        <w:rPr>
          <w:rFonts w:cs="Arial"/>
        </w:rPr>
        <w:t xml:space="preserve">responsibility for </w:t>
      </w:r>
      <w:r w:rsidR="00910EEB">
        <w:rPr>
          <w:rFonts w:cs="Arial"/>
        </w:rPr>
        <w:t>information risk</w:t>
      </w:r>
      <w:r w:rsidR="00927CA4">
        <w:rPr>
          <w:rFonts w:cs="Arial"/>
        </w:rPr>
        <w:t>, including security,</w:t>
      </w:r>
      <w:r w:rsidR="00910EEB">
        <w:rPr>
          <w:rFonts w:cs="Arial"/>
        </w:rPr>
        <w:t xml:space="preserve"> is</w:t>
      </w:r>
      <w:r w:rsidR="008420F4">
        <w:rPr>
          <w:rFonts w:cs="Arial"/>
        </w:rPr>
        <w:t xml:space="preserve"> formally assigned</w:t>
      </w:r>
      <w:r w:rsidR="00910EEB">
        <w:rPr>
          <w:rFonts w:cs="Arial"/>
        </w:rPr>
        <w:t xml:space="preserve"> </w:t>
      </w:r>
      <w:r w:rsidR="00927CA4">
        <w:rPr>
          <w:rFonts w:cs="Arial"/>
        </w:rPr>
        <w:t xml:space="preserve">to appropriate individuals </w:t>
      </w:r>
      <w:r w:rsidR="00AD2EEA">
        <w:rPr>
          <w:rFonts w:cs="Arial"/>
        </w:rPr>
        <w:t xml:space="preserve">(Information Asset Owners) </w:t>
      </w:r>
      <w:r w:rsidR="00BE21B9">
        <w:rPr>
          <w:rFonts w:cs="Arial"/>
        </w:rPr>
        <w:t xml:space="preserve">who will </w:t>
      </w:r>
      <w:r w:rsidR="008F2DAD">
        <w:rPr>
          <w:rFonts w:cs="Arial"/>
        </w:rPr>
        <w:t>be accountable to the SIRO.</w:t>
      </w:r>
    </w:p>
    <w:p w14:paraId="0B46014A" w14:textId="38023282" w:rsidR="00E96741" w:rsidRDefault="00E96741" w:rsidP="007E4866">
      <w:pPr>
        <w:numPr>
          <w:ilvl w:val="0"/>
          <w:numId w:val="11"/>
        </w:numPr>
        <w:spacing w:after="240"/>
        <w:rPr>
          <w:rFonts w:cs="Arial"/>
          <w:b/>
        </w:rPr>
      </w:pPr>
      <w:r>
        <w:rPr>
          <w:rFonts w:cs="Arial"/>
          <w:b/>
        </w:rPr>
        <w:t>Data Subject Rights</w:t>
      </w:r>
    </w:p>
    <w:p w14:paraId="43D05630" w14:textId="254C9C2C" w:rsidR="00E96741" w:rsidRDefault="007E5808" w:rsidP="007E4866">
      <w:pPr>
        <w:numPr>
          <w:ilvl w:val="1"/>
          <w:numId w:val="11"/>
        </w:numPr>
        <w:spacing w:after="240"/>
        <w:rPr>
          <w:rFonts w:cs="Arial"/>
          <w:bCs/>
        </w:rPr>
      </w:pPr>
      <w:r w:rsidRPr="007E5808">
        <w:rPr>
          <w:rFonts w:cs="Arial"/>
          <w:bCs/>
        </w:rPr>
        <w:t xml:space="preserve">Data protection law aims to </w:t>
      </w:r>
      <w:r w:rsidR="00D46B84" w:rsidRPr="007E5808">
        <w:rPr>
          <w:rFonts w:cs="Arial"/>
          <w:bCs/>
        </w:rPr>
        <w:t>protect</w:t>
      </w:r>
      <w:r>
        <w:rPr>
          <w:rFonts w:cs="Arial"/>
          <w:bCs/>
        </w:rPr>
        <w:t xml:space="preserve"> the</w:t>
      </w:r>
      <w:r w:rsidR="00D46B84" w:rsidRPr="007E5808">
        <w:rPr>
          <w:rFonts w:cs="Arial"/>
          <w:bCs/>
        </w:rPr>
        <w:t xml:space="preserve"> fundamental rights and freedoms of </w:t>
      </w:r>
      <w:r>
        <w:rPr>
          <w:rFonts w:cs="Arial"/>
          <w:bCs/>
        </w:rPr>
        <w:t>individuals</w:t>
      </w:r>
      <w:proofErr w:type="gramStart"/>
      <w:r w:rsidR="00D46B84" w:rsidRPr="007E5808">
        <w:rPr>
          <w:rFonts w:cs="Arial"/>
          <w:bCs/>
        </w:rPr>
        <w:t xml:space="preserve"> and in particular</w:t>
      </w:r>
      <w:proofErr w:type="gramEnd"/>
      <w:r w:rsidR="00D46B84" w:rsidRPr="007E5808">
        <w:rPr>
          <w:rFonts w:cs="Arial"/>
          <w:bCs/>
        </w:rPr>
        <w:t xml:space="preserve"> their right to the protection of personal data</w:t>
      </w:r>
      <w:r>
        <w:rPr>
          <w:rFonts w:cs="Arial"/>
          <w:bCs/>
        </w:rPr>
        <w:t xml:space="preserve">.  </w:t>
      </w:r>
      <w:r w:rsidR="00E973F7">
        <w:rPr>
          <w:rFonts w:cs="Arial"/>
          <w:bCs/>
        </w:rPr>
        <w:t xml:space="preserve">Where personal data is being processed, </w:t>
      </w:r>
      <w:r w:rsidR="00FB0A0D">
        <w:rPr>
          <w:rFonts w:cs="Arial"/>
          <w:bCs/>
        </w:rPr>
        <w:t xml:space="preserve">data protection law requires the Trust to </w:t>
      </w:r>
      <w:r w:rsidR="00157206">
        <w:rPr>
          <w:rFonts w:cs="Arial"/>
          <w:bCs/>
        </w:rPr>
        <w:t xml:space="preserve">uphold the following rights which are granted to </w:t>
      </w:r>
      <w:r w:rsidR="00E973F7">
        <w:rPr>
          <w:rFonts w:cs="Arial"/>
          <w:bCs/>
        </w:rPr>
        <w:t>the subject</w:t>
      </w:r>
      <w:r w:rsidR="00157206">
        <w:rPr>
          <w:rFonts w:cs="Arial"/>
          <w:bCs/>
        </w:rPr>
        <w:t>s</w:t>
      </w:r>
      <w:r w:rsidR="00E973F7">
        <w:rPr>
          <w:rFonts w:cs="Arial"/>
          <w:bCs/>
        </w:rPr>
        <w:t xml:space="preserve"> of </w:t>
      </w:r>
      <w:r w:rsidR="00157206">
        <w:rPr>
          <w:rFonts w:cs="Arial"/>
          <w:bCs/>
        </w:rPr>
        <w:t>the</w:t>
      </w:r>
      <w:r w:rsidR="00E973F7">
        <w:rPr>
          <w:rFonts w:cs="Arial"/>
          <w:bCs/>
        </w:rPr>
        <w:t xml:space="preserve"> personal data</w:t>
      </w:r>
      <w:r w:rsidR="00157206">
        <w:rPr>
          <w:rFonts w:cs="Arial"/>
          <w:bCs/>
        </w:rPr>
        <w:t xml:space="preserve"> which is being processed</w:t>
      </w:r>
      <w:r w:rsidR="00E973F7">
        <w:rPr>
          <w:rFonts w:cs="Arial"/>
          <w:bCs/>
        </w:rPr>
        <w:t xml:space="preserve"> (the data subject)</w:t>
      </w:r>
      <w:r w:rsidR="00FE3D41">
        <w:rPr>
          <w:rFonts w:cs="Arial"/>
          <w:bCs/>
        </w:rPr>
        <w:t>:</w:t>
      </w:r>
    </w:p>
    <w:p w14:paraId="38BDA945"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be informed</w:t>
      </w:r>
    </w:p>
    <w:p w14:paraId="5F13935B"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of access</w:t>
      </w:r>
    </w:p>
    <w:p w14:paraId="0D08FB5B"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rectification</w:t>
      </w:r>
    </w:p>
    <w:p w14:paraId="2C9F77C0"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erasure</w:t>
      </w:r>
    </w:p>
    <w:p w14:paraId="7CC1C23C"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restrict processing</w:t>
      </w:r>
    </w:p>
    <w:p w14:paraId="30456E8F"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data portability</w:t>
      </w:r>
    </w:p>
    <w:p w14:paraId="72AF3A0A" w14:textId="77777777" w:rsidR="00FE3D41" w:rsidRPr="00FE3D41" w:rsidRDefault="00FE3D41" w:rsidP="00562727">
      <w:pPr>
        <w:numPr>
          <w:ilvl w:val="3"/>
          <w:numId w:val="37"/>
        </w:numPr>
        <w:spacing w:after="240"/>
        <w:ind w:left="1701"/>
        <w:jc w:val="both"/>
        <w:rPr>
          <w:rFonts w:cs="Arial"/>
          <w:bCs/>
        </w:rPr>
      </w:pPr>
      <w:r w:rsidRPr="00FE3D41">
        <w:rPr>
          <w:rFonts w:cs="Arial"/>
          <w:bCs/>
        </w:rPr>
        <w:t>The right to object</w:t>
      </w:r>
    </w:p>
    <w:p w14:paraId="3462A0E4" w14:textId="77777777" w:rsidR="00562727" w:rsidRDefault="007B7B4F" w:rsidP="00562727">
      <w:pPr>
        <w:numPr>
          <w:ilvl w:val="1"/>
          <w:numId w:val="11"/>
        </w:numPr>
        <w:spacing w:after="240"/>
        <w:jc w:val="both"/>
        <w:rPr>
          <w:rFonts w:cs="Arial"/>
        </w:rPr>
      </w:pPr>
      <w:r>
        <w:rPr>
          <w:rFonts w:cs="Arial"/>
        </w:rPr>
        <w:t xml:space="preserve">To uphold </w:t>
      </w:r>
      <w:r w:rsidR="00A31963">
        <w:rPr>
          <w:rFonts w:cs="Arial"/>
        </w:rPr>
        <w:t xml:space="preserve">data subject rights </w:t>
      </w:r>
      <w:r>
        <w:rPr>
          <w:rFonts w:cs="Arial"/>
        </w:rPr>
        <w:t>the Trust will maintain procedures which</w:t>
      </w:r>
      <w:r w:rsidR="00D14C5B">
        <w:rPr>
          <w:rFonts w:cs="Arial"/>
        </w:rPr>
        <w:t xml:space="preserve"> ensure</w:t>
      </w:r>
      <w:r w:rsidR="00A31963">
        <w:rPr>
          <w:rFonts w:cs="Arial"/>
        </w:rPr>
        <w:t xml:space="preserve"> d</w:t>
      </w:r>
      <w:r w:rsidR="00A31963" w:rsidRPr="00A31963">
        <w:rPr>
          <w:rFonts w:cs="Arial"/>
        </w:rPr>
        <w:t xml:space="preserve">ata subject rights requests </w:t>
      </w:r>
      <w:r w:rsidR="00D14C5B" w:rsidRPr="00A31963">
        <w:rPr>
          <w:rFonts w:cs="Arial"/>
        </w:rPr>
        <w:t xml:space="preserve">can be effectively recognised </w:t>
      </w:r>
      <w:r w:rsidR="00B02BBD">
        <w:rPr>
          <w:rFonts w:cs="Arial"/>
        </w:rPr>
        <w:t>and responded to in accordance with the requirements of data protection law.</w:t>
      </w:r>
    </w:p>
    <w:p w14:paraId="4BBCFB2A" w14:textId="7DB8925C" w:rsidR="00315058" w:rsidRPr="00562727" w:rsidRDefault="00751F45" w:rsidP="00562727">
      <w:pPr>
        <w:numPr>
          <w:ilvl w:val="1"/>
          <w:numId w:val="11"/>
        </w:numPr>
        <w:spacing w:after="240"/>
        <w:jc w:val="both"/>
        <w:rPr>
          <w:rFonts w:cs="Arial"/>
        </w:rPr>
      </w:pPr>
      <w:r w:rsidRPr="124486BD">
        <w:rPr>
          <w:rFonts w:cs="Arial"/>
        </w:rPr>
        <w:t xml:space="preserve">Although data protection law is limited to living individuals and does not extend to </w:t>
      </w:r>
      <w:r w:rsidR="00AA2ECD" w:rsidRPr="124486BD">
        <w:rPr>
          <w:rFonts w:cs="Arial"/>
        </w:rPr>
        <w:t xml:space="preserve">deceased individuals, </w:t>
      </w:r>
      <w:r w:rsidR="00C848F6" w:rsidRPr="124486BD">
        <w:rPr>
          <w:rFonts w:cs="Arial"/>
        </w:rPr>
        <w:t xml:space="preserve">the Access to Health Records Act 1990 provides access rights to personal representatives, or those who may have a claim arising </w:t>
      </w:r>
      <w:r w:rsidR="389204BD" w:rsidRPr="124486BD">
        <w:rPr>
          <w:rFonts w:cs="Arial"/>
        </w:rPr>
        <w:t>from the individual’s death</w:t>
      </w:r>
      <w:r w:rsidR="00C848F6" w:rsidRPr="124486BD">
        <w:rPr>
          <w:rFonts w:cs="Arial"/>
        </w:rPr>
        <w:t xml:space="preserve"> to deceased patients’ records.</w:t>
      </w:r>
      <w:r w:rsidR="00EC7883" w:rsidRPr="124486BD">
        <w:rPr>
          <w:rFonts w:cs="Arial"/>
        </w:rPr>
        <w:t xml:space="preserve">  T</w:t>
      </w:r>
      <w:r w:rsidR="00AA2ECD" w:rsidRPr="124486BD">
        <w:rPr>
          <w:rFonts w:cs="Arial"/>
        </w:rPr>
        <w:t xml:space="preserve">he Trust will ensure that </w:t>
      </w:r>
      <w:r w:rsidR="00B0363F" w:rsidRPr="124486BD">
        <w:rPr>
          <w:rFonts w:cs="Arial"/>
        </w:rPr>
        <w:t>data subjects rights procedures which uphold the right of access (</w:t>
      </w:r>
      <w:r w:rsidR="008D6C17" w:rsidRPr="124486BD">
        <w:rPr>
          <w:rFonts w:cs="Arial"/>
        </w:rPr>
        <w:t>Subject Access Requests – SARs)</w:t>
      </w:r>
      <w:r w:rsidR="00CF3A90" w:rsidRPr="124486BD">
        <w:rPr>
          <w:rFonts w:cs="Arial"/>
        </w:rPr>
        <w:t xml:space="preserve"> </w:t>
      </w:r>
      <w:r w:rsidR="00216062" w:rsidRPr="124486BD">
        <w:rPr>
          <w:rFonts w:cs="Arial"/>
        </w:rPr>
        <w:t xml:space="preserve">extend to cover </w:t>
      </w:r>
      <w:r w:rsidR="00AA2ECD" w:rsidRPr="124486BD">
        <w:rPr>
          <w:rFonts w:cs="Arial"/>
        </w:rPr>
        <w:t>requests for information relating to deceased individual</w:t>
      </w:r>
      <w:r w:rsidR="00216062" w:rsidRPr="124486BD">
        <w:rPr>
          <w:rFonts w:cs="Arial"/>
        </w:rPr>
        <w:t>s.</w:t>
      </w:r>
      <w:r w:rsidR="00AA2ECD" w:rsidRPr="124486BD">
        <w:rPr>
          <w:rFonts w:cs="Arial"/>
        </w:rPr>
        <w:t xml:space="preserve"> </w:t>
      </w:r>
    </w:p>
    <w:p w14:paraId="5B77084F" w14:textId="211DE9D9" w:rsidR="3B2B9009" w:rsidRDefault="3B2B9009" w:rsidP="124486BD">
      <w:pPr>
        <w:spacing w:after="240"/>
        <w:jc w:val="both"/>
        <w:rPr>
          <w:rFonts w:cs="Arial"/>
        </w:rPr>
      </w:pPr>
    </w:p>
    <w:p w14:paraId="162D8F8B" w14:textId="514B2B28" w:rsidR="3B2B9009" w:rsidRDefault="3B2B9009" w:rsidP="3B2B9009">
      <w:pPr>
        <w:spacing w:after="240"/>
        <w:jc w:val="both"/>
        <w:rPr>
          <w:rFonts w:cs="Arial"/>
        </w:rPr>
      </w:pPr>
    </w:p>
    <w:p w14:paraId="75317E21" w14:textId="4D3A764C" w:rsidR="3B2B9009" w:rsidRDefault="3B2B9009" w:rsidP="3B2B9009">
      <w:pPr>
        <w:spacing w:after="240"/>
        <w:jc w:val="both"/>
        <w:rPr>
          <w:rFonts w:cs="Arial"/>
        </w:rPr>
      </w:pPr>
    </w:p>
    <w:p w14:paraId="768BA382" w14:textId="29B96B6A" w:rsidR="009F5789" w:rsidRPr="00E93C1C" w:rsidRDefault="009F5789" w:rsidP="00E93C1C">
      <w:pPr>
        <w:numPr>
          <w:ilvl w:val="0"/>
          <w:numId w:val="2"/>
        </w:numPr>
        <w:tabs>
          <w:tab w:val="clear" w:pos="902"/>
          <w:tab w:val="left" w:pos="1162"/>
        </w:tabs>
        <w:spacing w:before="360" w:after="240"/>
        <w:ind w:left="1162" w:hanging="1162"/>
        <w:outlineLvl w:val="0"/>
        <w:rPr>
          <w:rFonts w:cs="Arial"/>
          <w:b/>
          <w:bCs/>
          <w:sz w:val="28"/>
          <w:szCs w:val="28"/>
        </w:rPr>
      </w:pPr>
      <w:bookmarkStart w:id="19" w:name="_Toc132635591"/>
      <w:r w:rsidRPr="00E93C1C">
        <w:rPr>
          <w:rFonts w:cs="Arial"/>
          <w:b/>
          <w:bCs/>
          <w:sz w:val="28"/>
          <w:szCs w:val="28"/>
        </w:rPr>
        <w:t>Complaints</w:t>
      </w:r>
      <w:bookmarkEnd w:id="19"/>
      <w:r w:rsidRPr="00E93C1C">
        <w:rPr>
          <w:rFonts w:cs="Arial"/>
          <w:b/>
          <w:bCs/>
          <w:sz w:val="28"/>
          <w:szCs w:val="28"/>
        </w:rPr>
        <w:t xml:space="preserve"> </w:t>
      </w:r>
    </w:p>
    <w:p w14:paraId="660CB486" w14:textId="04EB3826" w:rsidR="009F5789" w:rsidRDefault="009F5789" w:rsidP="00E93C1C">
      <w:pPr>
        <w:keepNext/>
        <w:keepLines/>
        <w:numPr>
          <w:ilvl w:val="1"/>
          <w:numId w:val="11"/>
        </w:numPr>
        <w:spacing w:after="240"/>
        <w:jc w:val="both"/>
        <w:rPr>
          <w:rFonts w:cs="Arial"/>
        </w:rPr>
      </w:pPr>
      <w:r w:rsidRPr="124486BD">
        <w:rPr>
          <w:rFonts w:cs="Arial"/>
        </w:rPr>
        <w:t xml:space="preserve">The Trust’s complaints’ procedures take account of complaints that may be received because of a breach or suspected breach of the Data Protection </w:t>
      </w:r>
      <w:r w:rsidR="00E93C1C" w:rsidRPr="124486BD">
        <w:rPr>
          <w:rFonts w:cs="Arial"/>
        </w:rPr>
        <w:t>law</w:t>
      </w:r>
      <w:r w:rsidRPr="124486BD">
        <w:rPr>
          <w:rFonts w:cs="Arial"/>
        </w:rPr>
        <w:t>.</w:t>
      </w:r>
      <w:r w:rsidR="773820DE" w:rsidRPr="124486BD">
        <w:rPr>
          <w:rFonts w:cs="Arial"/>
        </w:rPr>
        <w:t xml:space="preserve"> All data protection complaints must be completed within 30 days or sooner.</w:t>
      </w:r>
    </w:p>
    <w:p w14:paraId="66E99721" w14:textId="77777777" w:rsidR="00562727" w:rsidRDefault="009F48CC" w:rsidP="00562727">
      <w:pPr>
        <w:numPr>
          <w:ilvl w:val="0"/>
          <w:numId w:val="2"/>
        </w:numPr>
        <w:tabs>
          <w:tab w:val="clear" w:pos="902"/>
          <w:tab w:val="left" w:pos="1162"/>
        </w:tabs>
        <w:spacing w:before="360" w:after="240"/>
        <w:ind w:left="1162" w:hanging="1162"/>
        <w:outlineLvl w:val="0"/>
        <w:rPr>
          <w:rFonts w:cs="Arial"/>
          <w:b/>
          <w:bCs/>
          <w:sz w:val="28"/>
          <w:szCs w:val="28"/>
        </w:rPr>
      </w:pPr>
      <w:bookmarkStart w:id="20" w:name="_Toc132635592"/>
      <w:r w:rsidRPr="009F48CC">
        <w:rPr>
          <w:rFonts w:cs="Arial"/>
          <w:b/>
          <w:bCs/>
          <w:sz w:val="28"/>
          <w:szCs w:val="28"/>
        </w:rPr>
        <w:t>Compensation</w:t>
      </w:r>
      <w:bookmarkEnd w:id="20"/>
      <w:r w:rsidRPr="009F48CC">
        <w:rPr>
          <w:rFonts w:cs="Arial"/>
          <w:b/>
          <w:bCs/>
          <w:sz w:val="28"/>
          <w:szCs w:val="28"/>
        </w:rPr>
        <w:t xml:space="preserve"> </w:t>
      </w:r>
    </w:p>
    <w:p w14:paraId="745983A0" w14:textId="7CD733C2" w:rsidR="00DF6E73" w:rsidRPr="00562727" w:rsidRDefault="009F48CC" w:rsidP="00562727">
      <w:pPr>
        <w:numPr>
          <w:ilvl w:val="1"/>
          <w:numId w:val="2"/>
        </w:numPr>
        <w:tabs>
          <w:tab w:val="clear" w:pos="902"/>
          <w:tab w:val="left" w:pos="1162"/>
        </w:tabs>
        <w:spacing w:before="360" w:after="240"/>
        <w:outlineLvl w:val="0"/>
        <w:rPr>
          <w:rFonts w:cs="Arial"/>
          <w:b/>
          <w:bCs/>
          <w:sz w:val="28"/>
          <w:szCs w:val="28"/>
        </w:rPr>
      </w:pPr>
      <w:r w:rsidRPr="00562727">
        <w:rPr>
          <w:rFonts w:cs="Arial"/>
        </w:rPr>
        <w:t xml:space="preserve">Individuals have a right to seek compensation for any breach of data protection legislation that may cause them damage and/ or distress. </w:t>
      </w:r>
    </w:p>
    <w:p w14:paraId="7E85275A" w14:textId="49CEFDC7"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21" w:name="_Toc132635593"/>
      <w:r w:rsidRPr="002748EF">
        <w:rPr>
          <w:rFonts w:cs="Arial"/>
          <w:b/>
          <w:bCs/>
          <w:sz w:val="28"/>
          <w:szCs w:val="28"/>
        </w:rPr>
        <w:t>Competence</w:t>
      </w:r>
      <w:bookmarkEnd w:id="21"/>
    </w:p>
    <w:p w14:paraId="31CBA705" w14:textId="732FCD5D" w:rsidR="00030E39" w:rsidRDefault="005B1CD3" w:rsidP="00A86741">
      <w:pPr>
        <w:numPr>
          <w:ilvl w:val="1"/>
          <w:numId w:val="11"/>
        </w:numPr>
        <w:spacing w:after="240"/>
        <w:jc w:val="both"/>
        <w:rPr>
          <w:rFonts w:cs="Arial"/>
        </w:rPr>
      </w:pPr>
      <w:r w:rsidRPr="007509DD">
        <w:rPr>
          <w:rFonts w:cs="Arial"/>
        </w:rPr>
        <w:t xml:space="preserve">All staff are required to </w:t>
      </w:r>
      <w:r w:rsidR="00361B97">
        <w:rPr>
          <w:rFonts w:cs="Arial"/>
        </w:rPr>
        <w:t>complete</w:t>
      </w:r>
      <w:r w:rsidR="002B6F00">
        <w:rPr>
          <w:rFonts w:cs="Arial"/>
        </w:rPr>
        <w:t xml:space="preserve"> </w:t>
      </w:r>
      <w:r w:rsidR="00AD2EEA">
        <w:rPr>
          <w:rFonts w:cs="Arial"/>
        </w:rPr>
        <w:t xml:space="preserve">Data Protection and Cyber Security Awareness </w:t>
      </w:r>
      <w:r w:rsidRPr="007509DD">
        <w:rPr>
          <w:rFonts w:cs="Arial"/>
        </w:rPr>
        <w:t xml:space="preserve">training </w:t>
      </w:r>
      <w:r w:rsidR="002541B1">
        <w:rPr>
          <w:rFonts w:cs="Arial"/>
        </w:rPr>
        <w:t xml:space="preserve">which </w:t>
      </w:r>
      <w:r w:rsidR="006D5E6A">
        <w:rPr>
          <w:rFonts w:cs="Arial"/>
        </w:rPr>
        <w:t xml:space="preserve">covers data protection and </w:t>
      </w:r>
      <w:r w:rsidR="002B6F00">
        <w:rPr>
          <w:rFonts w:cs="Arial"/>
        </w:rPr>
        <w:t xml:space="preserve">cyber </w:t>
      </w:r>
      <w:r w:rsidR="006D5E6A">
        <w:rPr>
          <w:rFonts w:cs="Arial"/>
        </w:rPr>
        <w:t>security</w:t>
      </w:r>
      <w:r w:rsidR="002541B1">
        <w:rPr>
          <w:rFonts w:cs="Arial"/>
        </w:rPr>
        <w:t xml:space="preserve"> </w:t>
      </w:r>
      <w:r w:rsidRPr="007509DD">
        <w:rPr>
          <w:rFonts w:cs="Arial"/>
        </w:rPr>
        <w:t xml:space="preserve">as part of their induction on joining the Trust’s employment and to </w:t>
      </w:r>
      <w:r w:rsidR="00B8401D">
        <w:rPr>
          <w:rFonts w:cs="Arial"/>
        </w:rPr>
        <w:t>undertake</w:t>
      </w:r>
      <w:r w:rsidRPr="007509DD">
        <w:rPr>
          <w:rFonts w:cs="Arial"/>
        </w:rPr>
        <w:t xml:space="preserve"> </w:t>
      </w:r>
      <w:r w:rsidR="00361B97">
        <w:rPr>
          <w:rFonts w:cs="Arial"/>
        </w:rPr>
        <w:t>Statutory and Mandatory training</w:t>
      </w:r>
      <w:r w:rsidR="006E35EE">
        <w:rPr>
          <w:rFonts w:cs="Arial"/>
        </w:rPr>
        <w:t xml:space="preserve"> on an annual basis</w:t>
      </w:r>
      <w:r w:rsidRPr="007509DD">
        <w:rPr>
          <w:rFonts w:cs="Arial"/>
        </w:rPr>
        <w:t xml:space="preserve"> </w:t>
      </w:r>
      <w:r w:rsidR="006E35EE">
        <w:rPr>
          <w:rFonts w:cs="Arial"/>
        </w:rPr>
        <w:t xml:space="preserve">through </w:t>
      </w:r>
      <w:r w:rsidRPr="007509DD">
        <w:rPr>
          <w:rFonts w:cs="Arial"/>
        </w:rPr>
        <w:t>complet</w:t>
      </w:r>
      <w:r w:rsidR="006E35EE">
        <w:rPr>
          <w:rFonts w:cs="Arial"/>
        </w:rPr>
        <w:t>ing the</w:t>
      </w:r>
      <w:r w:rsidR="00AD2EEA">
        <w:rPr>
          <w:rFonts w:cs="Arial"/>
        </w:rPr>
        <w:t xml:space="preserve"> </w:t>
      </w:r>
      <w:r w:rsidR="006E35EE">
        <w:rPr>
          <w:rFonts w:cs="Arial"/>
        </w:rPr>
        <w:t>training</w:t>
      </w:r>
      <w:r w:rsidRPr="007509DD">
        <w:rPr>
          <w:rFonts w:cs="Arial"/>
        </w:rPr>
        <w:t xml:space="preserve"> modules </w:t>
      </w:r>
      <w:r w:rsidR="006E35EE">
        <w:rPr>
          <w:rFonts w:cs="Arial"/>
        </w:rPr>
        <w:t>within SECAmb.</w:t>
      </w:r>
      <w:r w:rsidRPr="007509DD">
        <w:rPr>
          <w:rFonts w:cs="Arial"/>
        </w:rPr>
        <w:t xml:space="preserve"> </w:t>
      </w:r>
    </w:p>
    <w:p w14:paraId="7E85275B" w14:textId="1A9D0A6D" w:rsidR="005B1CD3" w:rsidRPr="007509DD" w:rsidRDefault="005B1CD3" w:rsidP="00A86741">
      <w:pPr>
        <w:numPr>
          <w:ilvl w:val="1"/>
          <w:numId w:val="11"/>
        </w:numPr>
        <w:spacing w:after="240"/>
        <w:jc w:val="both"/>
        <w:rPr>
          <w:rFonts w:cs="Arial"/>
        </w:rPr>
      </w:pPr>
      <w:r w:rsidRPr="124486BD">
        <w:rPr>
          <w:rFonts w:cs="Arial"/>
        </w:rPr>
        <w:t xml:space="preserve">The Trust will offer more specialised in-house training </w:t>
      </w:r>
      <w:r w:rsidR="00656F6A" w:rsidRPr="124486BD">
        <w:rPr>
          <w:rFonts w:cs="Arial"/>
        </w:rPr>
        <w:t xml:space="preserve">on data protection </w:t>
      </w:r>
      <w:r w:rsidRPr="124486BD">
        <w:rPr>
          <w:rFonts w:cs="Arial"/>
        </w:rPr>
        <w:t xml:space="preserve">to those whose role indicates that this is required. </w:t>
      </w:r>
      <w:r w:rsidR="00924E03" w:rsidRPr="124486BD">
        <w:rPr>
          <w:rFonts w:cs="Arial"/>
        </w:rPr>
        <w:t xml:space="preserve">The </w:t>
      </w:r>
      <w:r w:rsidR="05D440FA" w:rsidRPr="124486BD">
        <w:rPr>
          <w:rFonts w:cs="Arial"/>
        </w:rPr>
        <w:t xml:space="preserve">Data Protection </w:t>
      </w:r>
      <w:bookmarkStart w:id="22" w:name="_Int_Ukl96gKr"/>
      <w:proofErr w:type="gramStart"/>
      <w:r w:rsidR="05D440FA" w:rsidRPr="124486BD">
        <w:rPr>
          <w:rFonts w:cs="Arial"/>
        </w:rPr>
        <w:t>Sub Group</w:t>
      </w:r>
      <w:bookmarkEnd w:id="22"/>
      <w:proofErr w:type="gramEnd"/>
      <w:r w:rsidR="05D440FA" w:rsidRPr="124486BD">
        <w:rPr>
          <w:rFonts w:cs="Arial"/>
        </w:rPr>
        <w:t xml:space="preserve"> and </w:t>
      </w:r>
      <w:r w:rsidR="00BD3B80" w:rsidRPr="124486BD">
        <w:rPr>
          <w:rFonts w:cs="Arial"/>
        </w:rPr>
        <w:t>I</w:t>
      </w:r>
      <w:r w:rsidR="00237119" w:rsidRPr="124486BD">
        <w:rPr>
          <w:rFonts w:cs="Arial"/>
        </w:rPr>
        <w:t xml:space="preserve">nformation </w:t>
      </w:r>
      <w:r w:rsidR="00BD3B80" w:rsidRPr="124486BD">
        <w:rPr>
          <w:rFonts w:cs="Arial"/>
        </w:rPr>
        <w:t>G</w:t>
      </w:r>
      <w:r w:rsidR="00237119" w:rsidRPr="124486BD">
        <w:rPr>
          <w:rFonts w:cs="Arial"/>
        </w:rPr>
        <w:t xml:space="preserve">overnance </w:t>
      </w:r>
      <w:r w:rsidR="00BD3B80" w:rsidRPr="124486BD">
        <w:rPr>
          <w:rFonts w:cs="Arial"/>
        </w:rPr>
        <w:t>Group</w:t>
      </w:r>
      <w:r w:rsidR="004B0EC6" w:rsidRPr="124486BD">
        <w:rPr>
          <w:rFonts w:cs="Arial"/>
        </w:rPr>
        <w:t xml:space="preserve"> </w:t>
      </w:r>
      <w:r w:rsidR="29F941D7" w:rsidRPr="124486BD">
        <w:rPr>
          <w:rFonts w:cs="Arial"/>
        </w:rPr>
        <w:t>are</w:t>
      </w:r>
      <w:r w:rsidRPr="124486BD">
        <w:rPr>
          <w:rFonts w:cs="Arial"/>
        </w:rPr>
        <w:t xml:space="preserve"> expected to </w:t>
      </w:r>
      <w:r w:rsidR="00B8401D" w:rsidRPr="124486BD">
        <w:rPr>
          <w:rFonts w:cs="Arial"/>
        </w:rPr>
        <w:t>provide</w:t>
      </w:r>
      <w:r w:rsidRPr="124486BD">
        <w:rPr>
          <w:rFonts w:cs="Arial"/>
        </w:rPr>
        <w:t xml:space="preserve"> expertise in the application of the Data Protection </w:t>
      </w:r>
      <w:r w:rsidR="00030E39" w:rsidRPr="124486BD">
        <w:rPr>
          <w:rFonts w:cs="Arial"/>
        </w:rPr>
        <w:t xml:space="preserve">legislation </w:t>
      </w:r>
      <w:r w:rsidRPr="124486BD">
        <w:rPr>
          <w:rFonts w:cs="Arial"/>
        </w:rPr>
        <w:t>and will be able to provide advice and guidance.</w:t>
      </w:r>
    </w:p>
    <w:p w14:paraId="7E852769" w14:textId="77777777" w:rsidR="00ED0BD0" w:rsidRPr="007509DD" w:rsidRDefault="005B1CD3" w:rsidP="00A86741">
      <w:pPr>
        <w:numPr>
          <w:ilvl w:val="1"/>
          <w:numId w:val="11"/>
        </w:numPr>
        <w:spacing w:after="240"/>
        <w:jc w:val="both"/>
        <w:rPr>
          <w:rFonts w:cs="Arial"/>
        </w:rPr>
      </w:pPr>
      <w:r w:rsidRPr="007509DD">
        <w:rPr>
          <w:rFonts w:cs="Arial"/>
        </w:rPr>
        <w:t>A register will be maintained of all staff attendance at the training sessions. Non-contract staff and those on short or fixed term contracts will also receive appropriate induction.</w:t>
      </w:r>
    </w:p>
    <w:p w14:paraId="7E85276A" w14:textId="09A41008" w:rsidR="00ED0BD0" w:rsidRPr="002748EF" w:rsidRDefault="002748EF" w:rsidP="00A86741">
      <w:pPr>
        <w:numPr>
          <w:ilvl w:val="0"/>
          <w:numId w:val="2"/>
        </w:numPr>
        <w:tabs>
          <w:tab w:val="clear" w:pos="902"/>
          <w:tab w:val="left" w:pos="1162"/>
        </w:tabs>
        <w:spacing w:before="360" w:after="240"/>
        <w:ind w:left="1162" w:hanging="1162"/>
        <w:jc w:val="both"/>
        <w:outlineLvl w:val="0"/>
        <w:rPr>
          <w:rFonts w:cs="Arial"/>
          <w:b/>
          <w:bCs/>
          <w:sz w:val="28"/>
          <w:szCs w:val="28"/>
        </w:rPr>
      </w:pPr>
      <w:bookmarkStart w:id="23" w:name="_Toc132635594"/>
      <w:r w:rsidRPr="002748EF">
        <w:rPr>
          <w:rFonts w:cs="Arial"/>
          <w:b/>
          <w:bCs/>
          <w:sz w:val="28"/>
          <w:szCs w:val="28"/>
        </w:rPr>
        <w:t>Monitoring</w:t>
      </w:r>
      <w:bookmarkEnd w:id="23"/>
    </w:p>
    <w:p w14:paraId="2FF731D2" w14:textId="6036B456" w:rsidR="00476554" w:rsidRPr="008157AD" w:rsidRDefault="00924E03" w:rsidP="00476554">
      <w:pPr>
        <w:numPr>
          <w:ilvl w:val="1"/>
          <w:numId w:val="11"/>
        </w:numPr>
        <w:spacing w:after="240"/>
        <w:jc w:val="both"/>
        <w:rPr>
          <w:rFonts w:cs="Arial"/>
        </w:rPr>
      </w:pPr>
      <w:bookmarkStart w:id="24" w:name="_Toc220833945"/>
      <w:bookmarkStart w:id="25" w:name="_Toc220834116"/>
      <w:r w:rsidRPr="124486BD">
        <w:rPr>
          <w:rFonts w:cs="Arial"/>
        </w:rPr>
        <w:t xml:space="preserve">The </w:t>
      </w:r>
      <w:r w:rsidR="6B3E53F7" w:rsidRPr="124486BD">
        <w:rPr>
          <w:rFonts w:cs="Arial"/>
        </w:rPr>
        <w:t xml:space="preserve">Data Protection </w:t>
      </w:r>
      <w:bookmarkStart w:id="26" w:name="_Int_Z0dnFY0V"/>
      <w:proofErr w:type="gramStart"/>
      <w:r w:rsidR="6B3E53F7" w:rsidRPr="124486BD">
        <w:rPr>
          <w:rFonts w:cs="Arial"/>
        </w:rPr>
        <w:t>Sub Group</w:t>
      </w:r>
      <w:bookmarkEnd w:id="26"/>
      <w:proofErr w:type="gramEnd"/>
      <w:r w:rsidR="6B3E53F7" w:rsidRPr="124486BD">
        <w:rPr>
          <w:rFonts w:cs="Arial"/>
        </w:rPr>
        <w:t xml:space="preserve"> and </w:t>
      </w:r>
      <w:r w:rsidR="00BD3B80" w:rsidRPr="124486BD">
        <w:rPr>
          <w:rFonts w:cs="Arial"/>
        </w:rPr>
        <w:t>I</w:t>
      </w:r>
      <w:r w:rsidR="00237119" w:rsidRPr="124486BD">
        <w:rPr>
          <w:rFonts w:cs="Arial"/>
        </w:rPr>
        <w:t xml:space="preserve">nformation </w:t>
      </w:r>
      <w:r w:rsidR="00BD3B80" w:rsidRPr="124486BD">
        <w:rPr>
          <w:rFonts w:cs="Arial"/>
        </w:rPr>
        <w:t>G</w:t>
      </w:r>
      <w:r w:rsidR="00237119" w:rsidRPr="124486BD">
        <w:rPr>
          <w:rFonts w:cs="Arial"/>
        </w:rPr>
        <w:t xml:space="preserve">overnance </w:t>
      </w:r>
      <w:r w:rsidR="00C251F2" w:rsidRPr="124486BD">
        <w:rPr>
          <w:rFonts w:cs="Arial"/>
        </w:rPr>
        <w:t xml:space="preserve">Group </w:t>
      </w:r>
      <w:r w:rsidR="409F5FA1" w:rsidRPr="124486BD">
        <w:rPr>
          <w:rFonts w:cs="Arial"/>
        </w:rPr>
        <w:t xml:space="preserve">are </w:t>
      </w:r>
      <w:r w:rsidR="005B1CD3" w:rsidRPr="124486BD">
        <w:rPr>
          <w:rFonts w:cs="Arial"/>
        </w:rPr>
        <w:t xml:space="preserve">alerted to pertinent </w:t>
      </w:r>
      <w:r w:rsidR="008157AD" w:rsidRPr="124486BD">
        <w:rPr>
          <w:rFonts w:cs="Arial"/>
        </w:rPr>
        <w:t xml:space="preserve">data protection </w:t>
      </w:r>
      <w:r w:rsidR="005B1CD3" w:rsidRPr="124486BD">
        <w:rPr>
          <w:rFonts w:cs="Arial"/>
        </w:rPr>
        <w:t xml:space="preserve">issues or near misses through the incident reporting and </w:t>
      </w:r>
      <w:r w:rsidR="00AD2EEA" w:rsidRPr="124486BD">
        <w:rPr>
          <w:rFonts w:cs="Arial"/>
        </w:rPr>
        <w:t>formal reports issued by the Head of Information Governance.</w:t>
      </w:r>
      <w:bookmarkEnd w:id="24"/>
      <w:bookmarkEnd w:id="25"/>
    </w:p>
    <w:p w14:paraId="4E5007E5" w14:textId="2FDB8670" w:rsidR="3B2B9009" w:rsidRDefault="3B2B9009" w:rsidP="124486BD">
      <w:pPr>
        <w:spacing w:after="240"/>
        <w:jc w:val="both"/>
        <w:rPr>
          <w:rFonts w:cs="Arial"/>
        </w:rPr>
      </w:pPr>
    </w:p>
    <w:p w14:paraId="1CBAC942" w14:textId="00D9E06D" w:rsidR="3B2B9009" w:rsidRDefault="3B2B9009" w:rsidP="3B2B9009">
      <w:pPr>
        <w:spacing w:after="240"/>
        <w:jc w:val="both"/>
        <w:rPr>
          <w:rFonts w:cs="Arial"/>
        </w:rPr>
      </w:pPr>
    </w:p>
    <w:p w14:paraId="7C9B79C4" w14:textId="6D9AC987" w:rsidR="3B2B9009" w:rsidRDefault="3B2B9009" w:rsidP="3B2B9009">
      <w:pPr>
        <w:spacing w:after="240"/>
        <w:jc w:val="both"/>
        <w:rPr>
          <w:rFonts w:cs="Arial"/>
        </w:rPr>
      </w:pPr>
    </w:p>
    <w:p w14:paraId="7E85276C" w14:textId="7C4ED0C8"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27" w:name="_Toc132635595"/>
      <w:r>
        <w:rPr>
          <w:rFonts w:cs="Arial"/>
          <w:b/>
          <w:bCs/>
          <w:sz w:val="28"/>
          <w:szCs w:val="28"/>
        </w:rPr>
        <w:t>Audit a</w:t>
      </w:r>
      <w:r w:rsidRPr="002748EF">
        <w:rPr>
          <w:rFonts w:cs="Arial"/>
          <w:b/>
          <w:bCs/>
          <w:sz w:val="28"/>
          <w:szCs w:val="28"/>
        </w:rPr>
        <w:t>nd Review</w:t>
      </w:r>
      <w:bookmarkEnd w:id="27"/>
    </w:p>
    <w:p w14:paraId="7E85276D" w14:textId="042A7DD3" w:rsidR="005B1CD3" w:rsidRPr="007509DD" w:rsidRDefault="005B1CD3" w:rsidP="00A86741">
      <w:pPr>
        <w:keepNext/>
        <w:keepLines/>
        <w:numPr>
          <w:ilvl w:val="1"/>
          <w:numId w:val="11"/>
        </w:numPr>
        <w:spacing w:after="240"/>
        <w:jc w:val="both"/>
        <w:rPr>
          <w:rFonts w:cs="Arial"/>
        </w:rPr>
      </w:pPr>
      <w:r w:rsidRPr="124486BD">
        <w:rPr>
          <w:rFonts w:cs="Arial"/>
        </w:rPr>
        <w:t xml:space="preserve">This policy will be reviewed every </w:t>
      </w:r>
      <w:r w:rsidR="006B498B" w:rsidRPr="124486BD">
        <w:rPr>
          <w:rFonts w:cs="Arial"/>
        </w:rPr>
        <w:t>t</w:t>
      </w:r>
      <w:r w:rsidR="00134611" w:rsidRPr="124486BD">
        <w:rPr>
          <w:rFonts w:cs="Arial"/>
        </w:rPr>
        <w:t>wo</w:t>
      </w:r>
      <w:r w:rsidRPr="124486BD">
        <w:rPr>
          <w:rFonts w:cs="Arial"/>
        </w:rPr>
        <w:t xml:space="preserve"> years or more frequently if appropriate, by the</w:t>
      </w:r>
      <w:r w:rsidR="3C76B841" w:rsidRPr="124486BD">
        <w:rPr>
          <w:rFonts w:cs="Arial"/>
        </w:rPr>
        <w:t xml:space="preserve"> Data Protection </w:t>
      </w:r>
      <w:proofErr w:type="gramStart"/>
      <w:r w:rsidR="3C76B841" w:rsidRPr="124486BD">
        <w:rPr>
          <w:rFonts w:cs="Arial"/>
        </w:rPr>
        <w:t>Sub Group</w:t>
      </w:r>
      <w:proofErr w:type="gramEnd"/>
      <w:r w:rsidR="3C76B841" w:rsidRPr="124486BD">
        <w:rPr>
          <w:rFonts w:cs="Arial"/>
        </w:rPr>
        <w:t xml:space="preserve"> and</w:t>
      </w:r>
      <w:r w:rsidRPr="124486BD">
        <w:rPr>
          <w:rFonts w:cs="Arial"/>
        </w:rPr>
        <w:t xml:space="preserve"> </w:t>
      </w:r>
      <w:r w:rsidR="00BD3B80" w:rsidRPr="124486BD">
        <w:rPr>
          <w:rFonts w:cs="Arial"/>
        </w:rPr>
        <w:t>I</w:t>
      </w:r>
      <w:r w:rsidR="00237119" w:rsidRPr="124486BD">
        <w:rPr>
          <w:rFonts w:cs="Arial"/>
        </w:rPr>
        <w:t xml:space="preserve">nformation </w:t>
      </w:r>
      <w:r w:rsidR="00BD3B80" w:rsidRPr="124486BD">
        <w:rPr>
          <w:rFonts w:cs="Arial"/>
        </w:rPr>
        <w:t>G</w:t>
      </w:r>
      <w:r w:rsidR="00237119" w:rsidRPr="124486BD">
        <w:rPr>
          <w:rFonts w:cs="Arial"/>
        </w:rPr>
        <w:t xml:space="preserve">overnance </w:t>
      </w:r>
      <w:r w:rsidR="00BD3B80" w:rsidRPr="124486BD">
        <w:rPr>
          <w:rFonts w:cs="Arial"/>
        </w:rPr>
        <w:t>Group</w:t>
      </w:r>
      <w:r w:rsidR="00237119" w:rsidRPr="124486BD">
        <w:rPr>
          <w:rFonts w:cs="Arial"/>
        </w:rPr>
        <w:t xml:space="preserve"> </w:t>
      </w:r>
      <w:r w:rsidR="65E9E4DB" w:rsidRPr="124486BD">
        <w:rPr>
          <w:rFonts w:cs="Arial"/>
        </w:rPr>
        <w:t xml:space="preserve">which will </w:t>
      </w:r>
      <w:r w:rsidR="4F70F9FC" w:rsidRPr="124486BD">
        <w:rPr>
          <w:rFonts w:cs="Arial"/>
        </w:rPr>
        <w:t>consider</w:t>
      </w:r>
      <w:r w:rsidRPr="124486BD">
        <w:rPr>
          <w:rFonts w:cs="Arial"/>
        </w:rPr>
        <w:t xml:space="preserve"> changes to</w:t>
      </w:r>
      <w:r w:rsidR="006E35EE" w:rsidRPr="124486BD">
        <w:rPr>
          <w:rFonts w:cs="Arial"/>
        </w:rPr>
        <w:t xml:space="preserve"> national</w:t>
      </w:r>
      <w:r w:rsidRPr="124486BD">
        <w:rPr>
          <w:rFonts w:cs="Arial"/>
        </w:rPr>
        <w:t xml:space="preserve"> legislation that may occur, and/ or guidance from the Department of Health, </w:t>
      </w:r>
      <w:r w:rsidR="58067BFB" w:rsidRPr="124486BD">
        <w:rPr>
          <w:rFonts w:cs="Arial"/>
        </w:rPr>
        <w:t xml:space="preserve">NHSE and </w:t>
      </w:r>
      <w:r w:rsidRPr="124486BD">
        <w:rPr>
          <w:rFonts w:cs="Arial"/>
        </w:rPr>
        <w:t>the Information Commissioner and/ or any relevant case law.</w:t>
      </w:r>
    </w:p>
    <w:p w14:paraId="21B5EF66" w14:textId="49A932D7" w:rsidR="00972940" w:rsidRPr="008157AD" w:rsidRDefault="005B1CD3" w:rsidP="00476554">
      <w:pPr>
        <w:keepNext/>
        <w:keepLines/>
        <w:numPr>
          <w:ilvl w:val="1"/>
          <w:numId w:val="11"/>
        </w:numPr>
        <w:spacing w:after="240"/>
        <w:jc w:val="both"/>
        <w:rPr>
          <w:rFonts w:cs="Arial"/>
        </w:rPr>
      </w:pPr>
      <w:r w:rsidRPr="007509DD">
        <w:rPr>
          <w:rFonts w:cs="Arial"/>
        </w:rPr>
        <w:t>When deemed appropriate, the Trust may commission internal audit to review compliance with these arrangements.</w:t>
      </w:r>
    </w:p>
    <w:p w14:paraId="7E85276F" w14:textId="341A84B8" w:rsidR="00ED0BD0" w:rsidRPr="002748EF" w:rsidRDefault="002748EF" w:rsidP="00A86741">
      <w:pPr>
        <w:numPr>
          <w:ilvl w:val="0"/>
          <w:numId w:val="2"/>
        </w:numPr>
        <w:tabs>
          <w:tab w:val="clear" w:pos="902"/>
          <w:tab w:val="left" w:pos="1162"/>
        </w:tabs>
        <w:spacing w:before="360" w:after="240"/>
        <w:ind w:left="1162" w:hanging="1162"/>
        <w:jc w:val="both"/>
        <w:outlineLvl w:val="0"/>
        <w:rPr>
          <w:rFonts w:cs="Arial"/>
          <w:b/>
          <w:bCs/>
          <w:sz w:val="28"/>
          <w:szCs w:val="28"/>
        </w:rPr>
      </w:pPr>
      <w:bookmarkStart w:id="28" w:name="_Toc132635596"/>
      <w:r w:rsidRPr="002748EF">
        <w:rPr>
          <w:rFonts w:cs="Arial"/>
          <w:b/>
          <w:bCs/>
          <w:sz w:val="28"/>
          <w:szCs w:val="28"/>
        </w:rPr>
        <w:t>Equality Impact Appraisal</w:t>
      </w:r>
      <w:bookmarkEnd w:id="28"/>
    </w:p>
    <w:p w14:paraId="7E852770" w14:textId="77777777" w:rsidR="00ED0BD0" w:rsidRPr="007509DD" w:rsidRDefault="005B1CD3" w:rsidP="00A86741">
      <w:pPr>
        <w:numPr>
          <w:ilvl w:val="1"/>
          <w:numId w:val="11"/>
        </w:numPr>
        <w:spacing w:after="240"/>
        <w:jc w:val="both"/>
        <w:rPr>
          <w:rFonts w:cs="Arial"/>
        </w:rPr>
      </w:pPr>
      <w:r w:rsidRPr="007509DD">
        <w:rPr>
          <w:rFonts w:cs="Arial"/>
        </w:rPr>
        <w:t>The Trust will undertake an Equality Impact Appraisal to determine whether any groups may be adversely affected by this policy; and if so, how this impact may be mitigated.</w:t>
      </w:r>
    </w:p>
    <w:p w14:paraId="7E852771" w14:textId="51958D1A"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29" w:name="_Toc132635597"/>
      <w:r w:rsidRPr="002748EF">
        <w:rPr>
          <w:rFonts w:cs="Arial"/>
          <w:b/>
          <w:bCs/>
          <w:sz w:val="28"/>
          <w:szCs w:val="28"/>
        </w:rPr>
        <w:t>Associated Documentation</w:t>
      </w:r>
      <w:bookmarkEnd w:id="29"/>
    </w:p>
    <w:p w14:paraId="7E852772" w14:textId="77777777" w:rsidR="005B1CD3" w:rsidRPr="00E217F0" w:rsidRDefault="005B1CD3" w:rsidP="00E217F0">
      <w:pPr>
        <w:numPr>
          <w:ilvl w:val="3"/>
          <w:numId w:val="37"/>
        </w:numPr>
        <w:spacing w:after="240"/>
        <w:ind w:left="1701"/>
        <w:jc w:val="both"/>
        <w:rPr>
          <w:rFonts w:cs="Arial"/>
          <w:bCs/>
        </w:rPr>
      </w:pPr>
      <w:r w:rsidRPr="00E217F0">
        <w:rPr>
          <w:rFonts w:cs="Arial"/>
          <w:bCs/>
        </w:rPr>
        <w:t>Data Subject Access Request Policy and Procedure</w:t>
      </w:r>
    </w:p>
    <w:p w14:paraId="7E852774" w14:textId="00950E18" w:rsidR="005B1CD3" w:rsidRPr="00E217F0" w:rsidRDefault="005B1CD3" w:rsidP="00E217F0">
      <w:pPr>
        <w:numPr>
          <w:ilvl w:val="3"/>
          <w:numId w:val="37"/>
        </w:numPr>
        <w:spacing w:after="240"/>
        <w:ind w:left="1701"/>
        <w:jc w:val="both"/>
        <w:rPr>
          <w:rFonts w:cs="Arial"/>
          <w:bCs/>
        </w:rPr>
      </w:pPr>
      <w:r w:rsidRPr="00E217F0">
        <w:rPr>
          <w:rFonts w:cs="Arial"/>
          <w:bCs/>
        </w:rPr>
        <w:t>Information Governance Policy</w:t>
      </w:r>
    </w:p>
    <w:p w14:paraId="7E852775" w14:textId="77777777" w:rsidR="005B1CD3" w:rsidRPr="00E217F0" w:rsidRDefault="005B1CD3" w:rsidP="00E217F0">
      <w:pPr>
        <w:numPr>
          <w:ilvl w:val="3"/>
          <w:numId w:val="37"/>
        </w:numPr>
        <w:spacing w:after="240"/>
        <w:ind w:left="1701"/>
        <w:jc w:val="both"/>
        <w:rPr>
          <w:rFonts w:cs="Arial"/>
          <w:bCs/>
        </w:rPr>
      </w:pPr>
      <w:r w:rsidRPr="00E217F0">
        <w:rPr>
          <w:rFonts w:cs="Arial"/>
          <w:bCs/>
        </w:rPr>
        <w:t xml:space="preserve">Information Security </w:t>
      </w:r>
      <w:r w:rsidR="00EA13BD" w:rsidRPr="00E217F0">
        <w:rPr>
          <w:rFonts w:cs="Arial"/>
          <w:bCs/>
        </w:rPr>
        <w:t xml:space="preserve">and Risk Management </w:t>
      </w:r>
      <w:r w:rsidRPr="00E217F0">
        <w:rPr>
          <w:rFonts w:cs="Arial"/>
          <w:bCs/>
        </w:rPr>
        <w:t>Policy</w:t>
      </w:r>
    </w:p>
    <w:p w14:paraId="7E852776" w14:textId="77777777" w:rsidR="005B1CD3" w:rsidRPr="00E217F0" w:rsidRDefault="005B1CD3" w:rsidP="00E217F0">
      <w:pPr>
        <w:numPr>
          <w:ilvl w:val="3"/>
          <w:numId w:val="37"/>
        </w:numPr>
        <w:spacing w:after="240"/>
        <w:ind w:left="1701"/>
        <w:jc w:val="both"/>
        <w:rPr>
          <w:rFonts w:cs="Arial"/>
          <w:bCs/>
        </w:rPr>
      </w:pPr>
      <w:r w:rsidRPr="00E217F0">
        <w:rPr>
          <w:rFonts w:cs="Arial"/>
          <w:bCs/>
        </w:rPr>
        <w:t>Internet and E-mail Policy</w:t>
      </w:r>
    </w:p>
    <w:p w14:paraId="7E852777" w14:textId="3C996F90" w:rsidR="005B1CD3" w:rsidRPr="00E217F0" w:rsidRDefault="005B1CD3" w:rsidP="370CF465">
      <w:pPr>
        <w:numPr>
          <w:ilvl w:val="3"/>
          <w:numId w:val="37"/>
        </w:numPr>
        <w:spacing w:after="240"/>
        <w:ind w:left="1701"/>
        <w:jc w:val="both"/>
        <w:rPr>
          <w:rFonts w:cs="Arial"/>
        </w:rPr>
      </w:pPr>
      <w:r w:rsidRPr="124486BD">
        <w:rPr>
          <w:rFonts w:cs="Arial"/>
        </w:rPr>
        <w:t xml:space="preserve">Freedom of Information </w:t>
      </w:r>
      <w:r w:rsidR="00972940" w:rsidRPr="124486BD">
        <w:rPr>
          <w:rFonts w:cs="Arial"/>
        </w:rPr>
        <w:t>Procedure</w:t>
      </w:r>
    </w:p>
    <w:p w14:paraId="7E85277B" w14:textId="1AEB22BA" w:rsidR="005B1CD3" w:rsidRPr="00E217F0" w:rsidRDefault="005B1CD3" w:rsidP="00E217F0">
      <w:pPr>
        <w:numPr>
          <w:ilvl w:val="3"/>
          <w:numId w:val="37"/>
        </w:numPr>
        <w:spacing w:after="240"/>
        <w:ind w:left="1701"/>
        <w:jc w:val="both"/>
        <w:rPr>
          <w:rFonts w:cs="Arial"/>
          <w:bCs/>
        </w:rPr>
      </w:pPr>
      <w:r w:rsidRPr="00E217F0">
        <w:rPr>
          <w:rFonts w:cs="Arial"/>
          <w:bCs/>
        </w:rPr>
        <w:t>Records Management Polic</w:t>
      </w:r>
      <w:r w:rsidR="00972940" w:rsidRPr="00E217F0">
        <w:rPr>
          <w:rFonts w:cs="Arial"/>
          <w:bCs/>
        </w:rPr>
        <w:t>y</w:t>
      </w:r>
    </w:p>
    <w:p w14:paraId="7E85277E" w14:textId="41EB651E" w:rsidR="00ED0BD0" w:rsidRPr="00E217F0" w:rsidRDefault="004B0EC6" w:rsidP="00E217F0">
      <w:pPr>
        <w:numPr>
          <w:ilvl w:val="3"/>
          <w:numId w:val="37"/>
        </w:numPr>
        <w:spacing w:after="240"/>
        <w:ind w:left="1701"/>
        <w:jc w:val="both"/>
        <w:rPr>
          <w:rFonts w:cs="Arial"/>
          <w:bCs/>
        </w:rPr>
      </w:pPr>
      <w:r w:rsidRPr="00E217F0">
        <w:rPr>
          <w:rFonts w:cs="Arial"/>
          <w:bCs/>
        </w:rPr>
        <w:t xml:space="preserve">Complaints </w:t>
      </w:r>
      <w:r w:rsidR="005B1CD3" w:rsidRPr="00E217F0">
        <w:rPr>
          <w:rFonts w:cs="Arial"/>
          <w:bCs/>
        </w:rPr>
        <w:t>Policy</w:t>
      </w:r>
    </w:p>
    <w:p w14:paraId="7E85277F" w14:textId="78D7ED80" w:rsidR="00ED0BD0" w:rsidRPr="002748EF" w:rsidRDefault="002748EF" w:rsidP="00877E75">
      <w:pPr>
        <w:numPr>
          <w:ilvl w:val="0"/>
          <w:numId w:val="2"/>
        </w:numPr>
        <w:tabs>
          <w:tab w:val="clear" w:pos="902"/>
          <w:tab w:val="left" w:pos="1162"/>
        </w:tabs>
        <w:spacing w:before="360" w:after="240"/>
        <w:ind w:left="1162" w:hanging="1162"/>
        <w:outlineLvl w:val="0"/>
        <w:rPr>
          <w:rFonts w:cs="Arial"/>
          <w:b/>
          <w:bCs/>
          <w:sz w:val="28"/>
          <w:szCs w:val="28"/>
        </w:rPr>
      </w:pPr>
      <w:bookmarkStart w:id="30" w:name="_Toc132635598"/>
      <w:r w:rsidRPr="002748EF">
        <w:rPr>
          <w:rFonts w:cs="Arial"/>
          <w:b/>
          <w:bCs/>
          <w:sz w:val="28"/>
          <w:szCs w:val="28"/>
        </w:rPr>
        <w:t>References</w:t>
      </w:r>
      <w:bookmarkEnd w:id="30"/>
    </w:p>
    <w:p w14:paraId="0EDC8788" w14:textId="77777777" w:rsidR="00562727" w:rsidRPr="00E217F0" w:rsidRDefault="005B1CD3" w:rsidP="00562727">
      <w:pPr>
        <w:numPr>
          <w:ilvl w:val="1"/>
          <w:numId w:val="11"/>
        </w:numPr>
        <w:spacing w:after="240"/>
        <w:rPr>
          <w:rFonts w:cs="Arial"/>
          <w:b/>
        </w:rPr>
      </w:pPr>
      <w:r w:rsidRPr="00E217F0">
        <w:rPr>
          <w:rFonts w:cs="Arial"/>
          <w:b/>
        </w:rPr>
        <w:t>Primary Legislation</w:t>
      </w:r>
      <w:r w:rsidR="007509DD" w:rsidRPr="00E217F0">
        <w:rPr>
          <w:rFonts w:cs="Arial"/>
          <w:b/>
        </w:rPr>
        <w:t xml:space="preserve"> </w:t>
      </w:r>
    </w:p>
    <w:p w14:paraId="1CF31FD1" w14:textId="77777777" w:rsidR="00562727" w:rsidRDefault="005B1CD3" w:rsidP="00E217F0">
      <w:pPr>
        <w:numPr>
          <w:ilvl w:val="3"/>
          <w:numId w:val="37"/>
        </w:numPr>
        <w:spacing w:after="240"/>
        <w:ind w:left="1701"/>
        <w:jc w:val="both"/>
        <w:rPr>
          <w:rFonts w:cs="Arial"/>
          <w:bCs/>
        </w:rPr>
      </w:pPr>
      <w:r w:rsidRPr="00E217F0">
        <w:rPr>
          <w:rFonts w:cs="Arial"/>
          <w:bCs/>
        </w:rPr>
        <w:t>Access to Health Records Act 1990</w:t>
      </w:r>
    </w:p>
    <w:p w14:paraId="000D97F8" w14:textId="77777777" w:rsidR="00562727" w:rsidRDefault="005B1CD3" w:rsidP="00E217F0">
      <w:pPr>
        <w:numPr>
          <w:ilvl w:val="3"/>
          <w:numId w:val="37"/>
        </w:numPr>
        <w:spacing w:after="240"/>
        <w:ind w:left="1701"/>
        <w:jc w:val="both"/>
        <w:rPr>
          <w:rFonts w:cs="Arial"/>
          <w:bCs/>
        </w:rPr>
      </w:pPr>
      <w:r w:rsidRPr="00E217F0">
        <w:rPr>
          <w:rFonts w:cs="Arial"/>
          <w:bCs/>
        </w:rPr>
        <w:t>Access to Medical Reports Act 1988</w:t>
      </w:r>
    </w:p>
    <w:p w14:paraId="52799072" w14:textId="77777777" w:rsidR="00562727" w:rsidRDefault="008113E2" w:rsidP="00E217F0">
      <w:pPr>
        <w:numPr>
          <w:ilvl w:val="3"/>
          <w:numId w:val="37"/>
        </w:numPr>
        <w:spacing w:after="240"/>
        <w:ind w:left="1701"/>
        <w:jc w:val="both"/>
        <w:rPr>
          <w:rFonts w:cs="Arial"/>
          <w:bCs/>
        </w:rPr>
      </w:pPr>
      <w:r w:rsidRPr="00E217F0">
        <w:rPr>
          <w:rFonts w:cs="Arial"/>
          <w:bCs/>
        </w:rPr>
        <w:t>Caldicott Principles</w:t>
      </w:r>
    </w:p>
    <w:p w14:paraId="4772C3A5" w14:textId="77777777" w:rsidR="00562727" w:rsidRDefault="005B1CD3" w:rsidP="00E217F0">
      <w:pPr>
        <w:numPr>
          <w:ilvl w:val="3"/>
          <w:numId w:val="37"/>
        </w:numPr>
        <w:spacing w:after="240"/>
        <w:ind w:left="1701"/>
        <w:jc w:val="both"/>
        <w:rPr>
          <w:rFonts w:cs="Arial"/>
          <w:bCs/>
        </w:rPr>
      </w:pPr>
      <w:r w:rsidRPr="00E217F0">
        <w:rPr>
          <w:rFonts w:cs="Arial"/>
          <w:bCs/>
        </w:rPr>
        <w:t>Children Act 1989</w:t>
      </w:r>
    </w:p>
    <w:p w14:paraId="5B3EF510" w14:textId="77777777" w:rsidR="00562727" w:rsidRDefault="005B1CD3" w:rsidP="00E217F0">
      <w:pPr>
        <w:numPr>
          <w:ilvl w:val="3"/>
          <w:numId w:val="37"/>
        </w:numPr>
        <w:spacing w:after="240"/>
        <w:ind w:left="1701"/>
        <w:jc w:val="both"/>
        <w:rPr>
          <w:rFonts w:cs="Arial"/>
          <w:bCs/>
        </w:rPr>
      </w:pPr>
      <w:r w:rsidRPr="00E217F0">
        <w:rPr>
          <w:rFonts w:cs="Arial"/>
          <w:bCs/>
        </w:rPr>
        <w:t>Computer Misuse Act 1990</w:t>
      </w:r>
    </w:p>
    <w:p w14:paraId="6D320776" w14:textId="77777777" w:rsidR="00562727" w:rsidRDefault="005B1CD3" w:rsidP="00E217F0">
      <w:pPr>
        <w:numPr>
          <w:ilvl w:val="3"/>
          <w:numId w:val="37"/>
        </w:numPr>
        <w:spacing w:after="240"/>
        <w:ind w:left="1701"/>
        <w:jc w:val="both"/>
        <w:rPr>
          <w:rFonts w:cs="Arial"/>
          <w:bCs/>
        </w:rPr>
      </w:pPr>
      <w:r w:rsidRPr="00E217F0">
        <w:rPr>
          <w:rFonts w:cs="Arial"/>
          <w:bCs/>
        </w:rPr>
        <w:t>Copyright, Designs and Patents Act 1988</w:t>
      </w:r>
    </w:p>
    <w:p w14:paraId="31119D0B" w14:textId="77777777" w:rsidR="00562727" w:rsidRDefault="005B1CD3" w:rsidP="00E217F0">
      <w:pPr>
        <w:numPr>
          <w:ilvl w:val="3"/>
          <w:numId w:val="37"/>
        </w:numPr>
        <w:spacing w:after="240"/>
        <w:ind w:left="1701"/>
        <w:jc w:val="both"/>
        <w:rPr>
          <w:rFonts w:cs="Arial"/>
          <w:bCs/>
        </w:rPr>
      </w:pPr>
      <w:r w:rsidRPr="00E217F0">
        <w:rPr>
          <w:rFonts w:cs="Arial"/>
          <w:bCs/>
        </w:rPr>
        <w:t>Crime &amp; Disorder Act 1998</w:t>
      </w:r>
    </w:p>
    <w:p w14:paraId="06E2ACDC" w14:textId="77777777" w:rsidR="00562727" w:rsidRDefault="005B1CD3" w:rsidP="3B2B9009">
      <w:pPr>
        <w:numPr>
          <w:ilvl w:val="3"/>
          <w:numId w:val="37"/>
        </w:numPr>
        <w:spacing w:after="240"/>
        <w:ind w:left="1701"/>
        <w:jc w:val="both"/>
        <w:rPr>
          <w:rFonts w:cs="Arial"/>
        </w:rPr>
      </w:pPr>
      <w:r w:rsidRPr="124486BD">
        <w:rPr>
          <w:rFonts w:cs="Arial"/>
        </w:rPr>
        <w:t xml:space="preserve">Data Protection Act </w:t>
      </w:r>
      <w:r w:rsidR="00972940" w:rsidRPr="124486BD">
        <w:rPr>
          <w:rFonts w:cs="Arial"/>
        </w:rPr>
        <w:t>2018</w:t>
      </w:r>
    </w:p>
    <w:p w14:paraId="157B7445" w14:textId="71EE6E34" w:rsidR="3B344118" w:rsidRDefault="3B344118" w:rsidP="3B2B9009">
      <w:pPr>
        <w:numPr>
          <w:ilvl w:val="3"/>
          <w:numId w:val="37"/>
        </w:numPr>
        <w:spacing w:after="240"/>
        <w:ind w:left="1701"/>
        <w:jc w:val="both"/>
        <w:rPr>
          <w:rFonts w:cs="Arial"/>
        </w:rPr>
      </w:pPr>
      <w:r w:rsidRPr="124486BD">
        <w:rPr>
          <w:rFonts w:cs="Arial"/>
        </w:rPr>
        <w:t>Data Use and Access Act 2025</w:t>
      </w:r>
    </w:p>
    <w:p w14:paraId="71FD5A17" w14:textId="77777777" w:rsidR="00562727" w:rsidRDefault="002B6F00" w:rsidP="00E217F0">
      <w:pPr>
        <w:numPr>
          <w:ilvl w:val="3"/>
          <w:numId w:val="37"/>
        </w:numPr>
        <w:spacing w:after="240"/>
        <w:ind w:left="1701"/>
        <w:jc w:val="both"/>
        <w:rPr>
          <w:rFonts w:cs="Arial"/>
          <w:bCs/>
        </w:rPr>
      </w:pPr>
      <w:r w:rsidRPr="00E217F0">
        <w:rPr>
          <w:rFonts w:cs="Arial"/>
          <w:bCs/>
        </w:rPr>
        <w:t xml:space="preserve">UK </w:t>
      </w:r>
      <w:r w:rsidR="00972940" w:rsidRPr="00E217F0">
        <w:rPr>
          <w:rFonts w:cs="Arial"/>
          <w:bCs/>
        </w:rPr>
        <w:t xml:space="preserve">General Data Protection Regulation </w:t>
      </w:r>
    </w:p>
    <w:p w14:paraId="27B6B524" w14:textId="77777777" w:rsidR="00562727" w:rsidRDefault="002B6F00" w:rsidP="00E217F0">
      <w:pPr>
        <w:numPr>
          <w:ilvl w:val="3"/>
          <w:numId w:val="37"/>
        </w:numPr>
        <w:spacing w:after="240"/>
        <w:ind w:left="1701"/>
        <w:jc w:val="both"/>
        <w:rPr>
          <w:rFonts w:cs="Arial"/>
          <w:bCs/>
        </w:rPr>
      </w:pPr>
      <w:r w:rsidRPr="00E217F0">
        <w:rPr>
          <w:rFonts w:cs="Arial"/>
          <w:bCs/>
        </w:rPr>
        <w:t>Common Law Duty of Confidentiality</w:t>
      </w:r>
    </w:p>
    <w:p w14:paraId="443FD74A" w14:textId="77777777" w:rsidR="00562727" w:rsidRDefault="005B1CD3" w:rsidP="00E217F0">
      <w:pPr>
        <w:numPr>
          <w:ilvl w:val="3"/>
          <w:numId w:val="37"/>
        </w:numPr>
        <w:spacing w:after="240"/>
        <w:ind w:left="1701"/>
        <w:jc w:val="both"/>
        <w:rPr>
          <w:rFonts w:cs="Arial"/>
          <w:bCs/>
        </w:rPr>
      </w:pPr>
      <w:r w:rsidRPr="00E217F0">
        <w:rPr>
          <w:rFonts w:cs="Arial"/>
          <w:bCs/>
        </w:rPr>
        <w:t>Electronic Communications Act 2000</w:t>
      </w:r>
    </w:p>
    <w:p w14:paraId="0CAC1432" w14:textId="3242873F" w:rsidR="0EF80D00" w:rsidRDefault="005B1CD3" w:rsidP="18BB3A9C">
      <w:pPr>
        <w:numPr>
          <w:ilvl w:val="3"/>
          <w:numId w:val="37"/>
        </w:numPr>
        <w:spacing w:after="240"/>
        <w:ind w:left="1701"/>
        <w:jc w:val="both"/>
        <w:rPr>
          <w:rFonts w:cs="Arial"/>
        </w:rPr>
      </w:pPr>
      <w:r w:rsidRPr="7AC1B05A">
        <w:rPr>
          <w:rFonts w:cs="Arial"/>
        </w:rPr>
        <w:t>Freedom of Information Act 2000</w:t>
      </w:r>
    </w:p>
    <w:p w14:paraId="3F29E169" w14:textId="47BB2B90" w:rsidR="00562727" w:rsidRDefault="005B1CD3" w:rsidP="3B2B9009">
      <w:pPr>
        <w:numPr>
          <w:ilvl w:val="3"/>
          <w:numId w:val="37"/>
        </w:numPr>
        <w:spacing w:after="240"/>
        <w:ind w:left="1701"/>
        <w:jc w:val="both"/>
        <w:rPr>
          <w:rFonts w:cs="Arial"/>
        </w:rPr>
      </w:pPr>
      <w:r w:rsidRPr="124486BD">
        <w:rPr>
          <w:rFonts w:cs="Arial"/>
        </w:rPr>
        <w:t>Health and Social Care Act 20</w:t>
      </w:r>
      <w:r w:rsidR="22CBB355" w:rsidRPr="124486BD">
        <w:rPr>
          <w:rFonts w:cs="Arial"/>
        </w:rPr>
        <w:t>22</w:t>
      </w:r>
    </w:p>
    <w:p w14:paraId="5159F7B9" w14:textId="77777777" w:rsidR="00562727" w:rsidRDefault="005B1CD3" w:rsidP="00E217F0">
      <w:pPr>
        <w:numPr>
          <w:ilvl w:val="3"/>
          <w:numId w:val="37"/>
        </w:numPr>
        <w:spacing w:after="240"/>
        <w:ind w:left="1701"/>
        <w:jc w:val="both"/>
        <w:rPr>
          <w:rFonts w:cs="Arial"/>
          <w:bCs/>
        </w:rPr>
      </w:pPr>
      <w:r w:rsidRPr="00E217F0">
        <w:rPr>
          <w:rFonts w:cs="Arial"/>
          <w:bCs/>
        </w:rPr>
        <w:t>Human Rights Act 1998</w:t>
      </w:r>
    </w:p>
    <w:p w14:paraId="0D2AECC1" w14:textId="77777777" w:rsidR="00562727" w:rsidRDefault="005B1CD3" w:rsidP="00E217F0">
      <w:pPr>
        <w:numPr>
          <w:ilvl w:val="3"/>
          <w:numId w:val="37"/>
        </w:numPr>
        <w:spacing w:after="240"/>
        <w:ind w:left="1701"/>
        <w:jc w:val="both"/>
        <w:rPr>
          <w:rFonts w:cs="Arial"/>
          <w:bCs/>
        </w:rPr>
      </w:pPr>
      <w:r w:rsidRPr="00E217F0">
        <w:rPr>
          <w:rFonts w:cs="Arial"/>
          <w:bCs/>
        </w:rPr>
        <w:t>Police and Criminal Evidence Act 1984</w:t>
      </w:r>
    </w:p>
    <w:p w14:paraId="75D6ED73" w14:textId="7AE399C3" w:rsidR="007509DD" w:rsidRPr="00562727" w:rsidRDefault="005B1CD3" w:rsidP="3B2B9009">
      <w:pPr>
        <w:numPr>
          <w:ilvl w:val="3"/>
          <w:numId w:val="37"/>
        </w:numPr>
        <w:spacing w:after="240"/>
        <w:ind w:left="1701"/>
        <w:jc w:val="both"/>
        <w:rPr>
          <w:rFonts w:cs="Arial"/>
        </w:rPr>
      </w:pPr>
      <w:r w:rsidRPr="124486BD">
        <w:rPr>
          <w:rFonts w:cs="Arial"/>
        </w:rPr>
        <w:t>Public Records Act 1958</w:t>
      </w:r>
    </w:p>
    <w:p w14:paraId="7E85278F" w14:textId="5CC6EC0B" w:rsidR="007509DD" w:rsidRPr="00562727" w:rsidRDefault="005B1CD3" w:rsidP="3B2B9009">
      <w:pPr>
        <w:numPr>
          <w:ilvl w:val="3"/>
          <w:numId w:val="37"/>
        </w:numPr>
        <w:spacing w:after="240"/>
        <w:ind w:left="1701"/>
        <w:jc w:val="both"/>
        <w:rPr>
          <w:rFonts w:cs="Arial"/>
        </w:rPr>
      </w:pPr>
      <w:r w:rsidRPr="3B2B9009">
        <w:rPr>
          <w:rFonts w:cs="Arial"/>
        </w:rPr>
        <w:t>Regulation of Investigatory Powers Act 2000</w:t>
      </w:r>
      <w:r w:rsidR="007509DD" w:rsidRPr="3B2B9009">
        <w:rPr>
          <w:rFonts w:cs="Arial"/>
        </w:rPr>
        <w:t xml:space="preserve"> </w:t>
      </w:r>
    </w:p>
    <w:p w14:paraId="1FBFB771" w14:textId="570F3E3F" w:rsidR="00562727" w:rsidRPr="00E217F0" w:rsidRDefault="005B1CD3" w:rsidP="00E217F0">
      <w:pPr>
        <w:numPr>
          <w:ilvl w:val="1"/>
          <w:numId w:val="11"/>
        </w:numPr>
        <w:spacing w:after="240"/>
        <w:rPr>
          <w:rFonts w:cs="Arial"/>
        </w:rPr>
      </w:pPr>
      <w:r w:rsidRPr="007509DD">
        <w:rPr>
          <w:rFonts w:cs="Arial"/>
          <w:b/>
        </w:rPr>
        <w:t>Secondary Legislation</w:t>
      </w:r>
      <w:r w:rsidR="007509DD">
        <w:rPr>
          <w:rFonts w:cs="Arial"/>
          <w:b/>
        </w:rPr>
        <w:t xml:space="preserve"> </w:t>
      </w:r>
    </w:p>
    <w:p w14:paraId="7E852791"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(Processing of Sensitive Personal Data) Order 2000 [SI 2000 No. 417]</w:t>
      </w:r>
    </w:p>
    <w:p w14:paraId="7E852792"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(Subject Access Modification) (Health) Order 2000 [SI 2000 No. 413]</w:t>
      </w:r>
    </w:p>
    <w:p w14:paraId="7E852793"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(Subject Access Modification) (Education) Order 2000 [SI 2000 No. 414]</w:t>
      </w:r>
    </w:p>
    <w:p w14:paraId="7E852794"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(Subject Access Modification) (Social Work) Order 2000 [SI 2000 No. 415]</w:t>
      </w:r>
    </w:p>
    <w:p w14:paraId="7E852795"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(Miscellaneous Subject Access Exemptions) Order 2000 [SI 2000 No. 419]</w:t>
      </w:r>
    </w:p>
    <w:p w14:paraId="7E852796" w14:textId="77777777" w:rsidR="005B1CD3" w:rsidRPr="00E217F0" w:rsidRDefault="005B1CD3" w:rsidP="00E217F0">
      <w:pPr>
        <w:numPr>
          <w:ilvl w:val="3"/>
          <w:numId w:val="37"/>
        </w:numPr>
        <w:spacing w:after="240"/>
        <w:ind w:left="1701"/>
        <w:jc w:val="both"/>
        <w:rPr>
          <w:rFonts w:cs="Arial"/>
          <w:bCs/>
        </w:rPr>
      </w:pPr>
      <w:r w:rsidRPr="00E217F0">
        <w:rPr>
          <w:rFonts w:cs="Arial"/>
          <w:bCs/>
        </w:rPr>
        <w:t>The Data Protection (Miscellaneous Subject Access Exemptions (Amendment) Order 2000 [SI 2000 No. 1865]</w:t>
      </w:r>
    </w:p>
    <w:p w14:paraId="7E852797" w14:textId="77777777" w:rsidR="007509DD" w:rsidRPr="00E217F0" w:rsidRDefault="005B1CD3" w:rsidP="00E217F0">
      <w:pPr>
        <w:numPr>
          <w:ilvl w:val="3"/>
          <w:numId w:val="37"/>
        </w:numPr>
        <w:spacing w:after="240"/>
        <w:ind w:left="1701"/>
        <w:jc w:val="both"/>
        <w:rPr>
          <w:rFonts w:cs="Arial"/>
          <w:bCs/>
        </w:rPr>
      </w:pPr>
      <w:r w:rsidRPr="00E217F0">
        <w:rPr>
          <w:rFonts w:cs="Arial"/>
          <w:bCs/>
        </w:rPr>
        <w:t>The Data Protection (Subject Access) (Fees and Miscellaneous Provisions) Regulations 2000 [SI 2000 No. 191]</w:t>
      </w:r>
      <w:r w:rsidR="007509DD" w:rsidRPr="00E217F0">
        <w:rPr>
          <w:rFonts w:cs="Arial"/>
          <w:bCs/>
        </w:rPr>
        <w:t xml:space="preserve"> </w:t>
      </w:r>
    </w:p>
    <w:p w14:paraId="7E852798" w14:textId="77777777" w:rsidR="007509DD" w:rsidRPr="007509DD" w:rsidRDefault="005B1CD3" w:rsidP="007509DD">
      <w:pPr>
        <w:numPr>
          <w:ilvl w:val="1"/>
          <w:numId w:val="11"/>
        </w:numPr>
        <w:spacing w:after="240"/>
        <w:rPr>
          <w:rFonts w:cs="Arial"/>
        </w:rPr>
      </w:pPr>
      <w:r w:rsidRPr="007509DD">
        <w:rPr>
          <w:rFonts w:cs="Arial"/>
          <w:b/>
        </w:rPr>
        <w:t>NHS and Related Guidance</w:t>
      </w:r>
      <w:r w:rsidR="007509DD">
        <w:rPr>
          <w:rFonts w:cs="Arial"/>
          <w:b/>
        </w:rPr>
        <w:t xml:space="preserve"> </w:t>
      </w:r>
    </w:p>
    <w:p w14:paraId="7E852799" w14:textId="087B7534" w:rsidR="005B1CD3" w:rsidRPr="00E217F0" w:rsidRDefault="005B1CD3" w:rsidP="3B2B9009">
      <w:pPr>
        <w:numPr>
          <w:ilvl w:val="3"/>
          <w:numId w:val="37"/>
        </w:numPr>
        <w:spacing w:after="240"/>
        <w:ind w:left="1701"/>
        <w:jc w:val="both"/>
        <w:rPr>
          <w:rFonts w:cs="Arial"/>
        </w:rPr>
      </w:pPr>
      <w:r w:rsidRPr="124486BD">
        <w:rPr>
          <w:rFonts w:cs="Arial"/>
        </w:rPr>
        <w:t xml:space="preserve">Confidentiality: NHS Code of Practice </w:t>
      </w:r>
      <w:r w:rsidR="33951E5F" w:rsidRPr="124486BD">
        <w:rPr>
          <w:rFonts w:cs="Arial"/>
        </w:rPr>
        <w:t xml:space="preserve">2014 </w:t>
      </w:r>
    </w:p>
    <w:p w14:paraId="7E85279A" w14:textId="77777777" w:rsidR="005B1CD3" w:rsidRPr="00E217F0" w:rsidRDefault="005B1CD3" w:rsidP="00E217F0">
      <w:pPr>
        <w:numPr>
          <w:ilvl w:val="3"/>
          <w:numId w:val="37"/>
        </w:numPr>
        <w:spacing w:after="240"/>
        <w:ind w:left="1701"/>
        <w:jc w:val="both"/>
        <w:rPr>
          <w:rFonts w:cs="Arial"/>
          <w:bCs/>
        </w:rPr>
      </w:pPr>
      <w:r w:rsidRPr="00E217F0">
        <w:rPr>
          <w:rFonts w:cs="Arial"/>
          <w:bCs/>
        </w:rPr>
        <w:t>Employee Code of Practice (Information Commissioner)</w:t>
      </w:r>
    </w:p>
    <w:p w14:paraId="7E85279B" w14:textId="16BD5DE3" w:rsidR="005B1CD3" w:rsidRPr="00E217F0" w:rsidRDefault="005B1CD3" w:rsidP="00E217F0">
      <w:pPr>
        <w:numPr>
          <w:ilvl w:val="3"/>
          <w:numId w:val="37"/>
        </w:numPr>
        <w:spacing w:after="240"/>
        <w:ind w:left="1701"/>
        <w:jc w:val="both"/>
        <w:rPr>
          <w:rFonts w:cs="Arial"/>
          <w:bCs/>
        </w:rPr>
      </w:pPr>
      <w:r w:rsidRPr="00E217F0">
        <w:rPr>
          <w:rFonts w:cs="Arial"/>
          <w:bCs/>
        </w:rPr>
        <w:t xml:space="preserve">HSC2000/009: Data Protection Act </w:t>
      </w:r>
      <w:r w:rsidR="00972940" w:rsidRPr="00E217F0">
        <w:rPr>
          <w:rFonts w:cs="Arial"/>
          <w:bCs/>
        </w:rPr>
        <w:t>2018</w:t>
      </w:r>
      <w:r w:rsidRPr="00E217F0">
        <w:rPr>
          <w:rFonts w:cs="Arial"/>
          <w:bCs/>
        </w:rPr>
        <w:t>: Protection and Use of Patient Information</w:t>
      </w:r>
    </w:p>
    <w:p w14:paraId="7E85279C" w14:textId="70D8E4E6" w:rsidR="005B1CD3" w:rsidRPr="00E217F0" w:rsidRDefault="005B1CD3" w:rsidP="00E217F0">
      <w:pPr>
        <w:numPr>
          <w:ilvl w:val="3"/>
          <w:numId w:val="37"/>
        </w:numPr>
        <w:spacing w:after="240"/>
        <w:ind w:left="1701"/>
        <w:jc w:val="both"/>
        <w:rPr>
          <w:rFonts w:cs="Arial"/>
          <w:bCs/>
        </w:rPr>
      </w:pPr>
      <w:r w:rsidRPr="00E217F0">
        <w:rPr>
          <w:rFonts w:cs="Arial"/>
          <w:bCs/>
        </w:rPr>
        <w:t xml:space="preserve">HSC1999/053: For the Record (preservation, </w:t>
      </w:r>
      <w:r w:rsidR="004258A2" w:rsidRPr="00E217F0">
        <w:rPr>
          <w:rFonts w:cs="Arial"/>
          <w:bCs/>
        </w:rPr>
        <w:t>retention,</w:t>
      </w:r>
      <w:r w:rsidRPr="00E217F0">
        <w:rPr>
          <w:rFonts w:cs="Arial"/>
          <w:bCs/>
        </w:rPr>
        <w:t xml:space="preserve"> and destruction of records under the Public Records Act 1958) and records management strategy</w:t>
      </w:r>
    </w:p>
    <w:p w14:paraId="7E85279D" w14:textId="77777777" w:rsidR="005B1CD3" w:rsidRPr="00E217F0" w:rsidRDefault="005B1CD3" w:rsidP="00E217F0">
      <w:pPr>
        <w:numPr>
          <w:ilvl w:val="3"/>
          <w:numId w:val="37"/>
        </w:numPr>
        <w:spacing w:after="240"/>
        <w:ind w:left="1701"/>
        <w:jc w:val="both"/>
        <w:rPr>
          <w:rFonts w:cs="Arial"/>
          <w:bCs/>
        </w:rPr>
      </w:pPr>
      <w:r w:rsidRPr="00E217F0">
        <w:rPr>
          <w:rFonts w:cs="Arial"/>
          <w:bCs/>
        </w:rPr>
        <w:t>HSC2002/3: Implementing the Caldicott Standard into Social Care</w:t>
      </w:r>
    </w:p>
    <w:p w14:paraId="7E85279E" w14:textId="77777777" w:rsidR="00F0064C" w:rsidRPr="00E217F0" w:rsidRDefault="005B1CD3" w:rsidP="370CF465">
      <w:pPr>
        <w:numPr>
          <w:ilvl w:val="3"/>
          <w:numId w:val="37"/>
        </w:numPr>
        <w:spacing w:after="240"/>
        <w:ind w:left="1701"/>
        <w:jc w:val="both"/>
        <w:rPr>
          <w:rFonts w:cs="Arial"/>
        </w:rPr>
      </w:pPr>
      <w:r w:rsidRPr="124486BD">
        <w:rPr>
          <w:rFonts w:cs="Arial"/>
        </w:rPr>
        <w:t>BS7799: British Standard for Information Management and Technology.</w:t>
      </w:r>
    </w:p>
    <w:p w14:paraId="2881DEEE" w14:textId="23749896" w:rsidR="769BED3D" w:rsidRDefault="769BED3D" w:rsidP="370CF465">
      <w:pPr>
        <w:numPr>
          <w:ilvl w:val="3"/>
          <w:numId w:val="37"/>
        </w:numPr>
        <w:spacing w:after="240"/>
        <w:ind w:left="1701"/>
        <w:jc w:val="both"/>
        <w:rPr>
          <w:rFonts w:cs="Arial"/>
        </w:rPr>
      </w:pPr>
      <w:r w:rsidRPr="124486BD">
        <w:rPr>
          <w:rFonts w:cs="Arial"/>
        </w:rPr>
        <w:t>Data Use and Access Act 2025</w:t>
      </w:r>
    </w:p>
    <w:p w14:paraId="7E85279F" w14:textId="77777777" w:rsidR="00596173" w:rsidRPr="00BC5283" w:rsidRDefault="005B1CD3" w:rsidP="005B1CD3">
      <w:pPr>
        <w:pageBreakBefore/>
        <w:tabs>
          <w:tab w:val="left" w:pos="1162"/>
        </w:tabs>
        <w:spacing w:before="360" w:after="240"/>
        <w:outlineLvl w:val="0"/>
        <w:rPr>
          <w:rFonts w:cs="Arial"/>
          <w:b/>
          <w:bCs/>
          <w:sz w:val="28"/>
          <w:szCs w:val="28"/>
        </w:rPr>
      </w:pPr>
      <w:bookmarkStart w:id="31" w:name="_Toc132635599"/>
      <w:r>
        <w:rPr>
          <w:rFonts w:cs="Arial"/>
          <w:b/>
          <w:bCs/>
          <w:sz w:val="28"/>
          <w:szCs w:val="28"/>
        </w:rPr>
        <w:t>Appendix 1: Overview of Legislation and NHS Guidance</w:t>
      </w:r>
      <w:bookmarkEnd w:id="31"/>
    </w:p>
    <w:p w14:paraId="7E8527A0" w14:textId="01326EA9" w:rsidR="005B1CD3" w:rsidRDefault="00BC1A7B" w:rsidP="3B2B9009">
      <w:pPr>
        <w:tabs>
          <w:tab w:val="left" w:pos="1162"/>
        </w:tabs>
        <w:spacing w:after="240"/>
        <w:rPr>
          <w:rFonts w:cs="Arial"/>
          <w:b/>
          <w:bCs/>
        </w:rPr>
      </w:pPr>
      <w:r w:rsidRPr="124486BD">
        <w:rPr>
          <w:rFonts w:cs="Arial"/>
          <w:b/>
          <w:bCs/>
        </w:rPr>
        <w:t xml:space="preserve">1. </w:t>
      </w:r>
      <w:r w:rsidR="005B1CD3" w:rsidRPr="124486BD">
        <w:rPr>
          <w:rFonts w:cs="Arial"/>
          <w:b/>
          <w:bCs/>
        </w:rPr>
        <w:t xml:space="preserve">Data Protection Act </w:t>
      </w:r>
      <w:r w:rsidR="00972940" w:rsidRPr="124486BD">
        <w:rPr>
          <w:rFonts w:cs="Arial"/>
          <w:b/>
          <w:bCs/>
        </w:rPr>
        <w:t>2018</w:t>
      </w:r>
      <w:r w:rsidR="002B17CF" w:rsidRPr="124486BD">
        <w:rPr>
          <w:rFonts w:cs="Arial"/>
          <w:b/>
          <w:bCs/>
        </w:rPr>
        <w:t xml:space="preserve"> (DPA 18)</w:t>
      </w:r>
      <w:r w:rsidR="005B1CD3" w:rsidRPr="124486BD">
        <w:rPr>
          <w:rFonts w:cs="Arial"/>
          <w:b/>
          <w:bCs/>
        </w:rPr>
        <w:t xml:space="preserve"> </w:t>
      </w:r>
      <w:r w:rsidR="002B17CF" w:rsidRPr="124486BD">
        <w:rPr>
          <w:rFonts w:cs="Arial"/>
          <w:b/>
          <w:bCs/>
        </w:rPr>
        <w:t>/</w:t>
      </w:r>
      <w:r w:rsidR="00F43658" w:rsidRPr="124486BD">
        <w:rPr>
          <w:rFonts w:cs="Arial"/>
          <w:b/>
          <w:bCs/>
        </w:rPr>
        <w:t xml:space="preserve"> </w:t>
      </w:r>
      <w:r w:rsidR="00A70C32" w:rsidRPr="124486BD">
        <w:rPr>
          <w:rFonts w:cs="Arial"/>
          <w:b/>
          <w:bCs/>
        </w:rPr>
        <w:t xml:space="preserve">UK </w:t>
      </w:r>
      <w:r w:rsidR="00972940" w:rsidRPr="124486BD">
        <w:rPr>
          <w:rFonts w:cs="Arial"/>
          <w:b/>
          <w:bCs/>
        </w:rPr>
        <w:t>General Data Protection Regulation</w:t>
      </w:r>
      <w:r w:rsidR="002B17CF" w:rsidRPr="124486BD">
        <w:rPr>
          <w:rFonts w:cs="Arial"/>
          <w:b/>
          <w:bCs/>
        </w:rPr>
        <w:t xml:space="preserve"> (UK GDPR)</w:t>
      </w:r>
      <w:r w:rsidR="79C93626" w:rsidRPr="124486BD">
        <w:rPr>
          <w:rFonts w:cs="Arial"/>
          <w:b/>
          <w:bCs/>
        </w:rPr>
        <w:t xml:space="preserve"> and Data Use and Access Act 2025.</w:t>
      </w:r>
    </w:p>
    <w:p w14:paraId="272CB8D5" w14:textId="36B6C168" w:rsidR="00BC1A7B" w:rsidRDefault="005B1CD3" w:rsidP="00BC1A7B">
      <w:pPr>
        <w:tabs>
          <w:tab w:val="left" w:pos="1162"/>
        </w:tabs>
        <w:spacing w:after="240"/>
        <w:rPr>
          <w:rFonts w:cs="Arial"/>
        </w:rPr>
      </w:pPr>
      <w:r w:rsidRPr="005B1CD3">
        <w:rPr>
          <w:rFonts w:cs="Arial"/>
        </w:rPr>
        <w:t>Th</w:t>
      </w:r>
      <w:r w:rsidR="00593954">
        <w:rPr>
          <w:rFonts w:cs="Arial"/>
        </w:rPr>
        <w:t xml:space="preserve">e above </w:t>
      </w:r>
      <w:r w:rsidR="002B17CF">
        <w:rPr>
          <w:rFonts w:cs="Arial"/>
        </w:rPr>
        <w:t>are</w:t>
      </w:r>
      <w:r w:rsidRPr="005B1CD3">
        <w:rPr>
          <w:rFonts w:cs="Arial"/>
        </w:rPr>
        <w:t xml:space="preserve"> the key piece</w:t>
      </w:r>
      <w:r w:rsidR="002B17CF">
        <w:rPr>
          <w:rFonts w:cs="Arial"/>
        </w:rPr>
        <w:t>s</w:t>
      </w:r>
      <w:r w:rsidRPr="005B1CD3">
        <w:rPr>
          <w:rFonts w:cs="Arial"/>
        </w:rPr>
        <w:t xml:space="preserve"> of legislation and </w:t>
      </w:r>
      <w:r w:rsidR="00560135">
        <w:rPr>
          <w:rFonts w:cs="Arial"/>
        </w:rPr>
        <w:t>are</w:t>
      </w:r>
      <w:r w:rsidRPr="005B1CD3">
        <w:rPr>
          <w:rFonts w:cs="Arial"/>
        </w:rPr>
        <w:t xml:space="preserve"> therefore covered in detail. Summaries of other Acts mentioned above are shown at Appendix 2.</w:t>
      </w:r>
    </w:p>
    <w:p w14:paraId="5CAB70BD" w14:textId="33274C8D" w:rsidR="00BC1A7B" w:rsidRDefault="00593954" w:rsidP="00BC1A7B">
      <w:pPr>
        <w:tabs>
          <w:tab w:val="left" w:pos="1162"/>
        </w:tabs>
        <w:spacing w:after="240"/>
        <w:rPr>
          <w:rFonts w:cs="Arial"/>
        </w:rPr>
      </w:pPr>
      <w:r>
        <w:rPr>
          <w:rFonts w:cs="Arial"/>
        </w:rPr>
        <w:t>The Data Protection Act 2018 is an update to the former Data Protection Act 1998 and was implemented on the 25 May 2018.  It is the UK’s interpretation of the European wide General Data Protection Regulation 2016.</w:t>
      </w:r>
      <w:r w:rsidR="00E70B7F">
        <w:rPr>
          <w:rFonts w:cs="Arial"/>
        </w:rPr>
        <w:t xml:space="preserve">  </w:t>
      </w:r>
    </w:p>
    <w:p w14:paraId="284BC3D8" w14:textId="77777777" w:rsidR="00AB0D1C" w:rsidRDefault="004F5037" w:rsidP="00AB0D1C">
      <w:pPr>
        <w:tabs>
          <w:tab w:val="left" w:pos="1162"/>
        </w:tabs>
        <w:spacing w:after="240"/>
        <w:rPr>
          <w:rFonts w:cs="Arial"/>
        </w:rPr>
      </w:pPr>
      <w:r w:rsidRPr="124486BD">
        <w:rPr>
          <w:rFonts w:cs="Arial"/>
        </w:rPr>
        <w:t>Following the UK’s departure from the European Union (Brexit) the GDPR was incorporated into UK law to become the UK GDPR and is now implemented as part of the Data Protection Act 2018.  Together they are referred to as ‘data protection law’.</w:t>
      </w:r>
    </w:p>
    <w:p w14:paraId="1FF94549" w14:textId="6E5F36E1" w:rsidR="6F1472F9" w:rsidRDefault="6F1472F9" w:rsidP="3B2B9009">
      <w:pPr>
        <w:tabs>
          <w:tab w:val="left" w:pos="1162"/>
        </w:tabs>
        <w:spacing w:after="240"/>
        <w:rPr>
          <w:rFonts w:eastAsia="Arial" w:cs="Arial"/>
          <w:szCs w:val="24"/>
        </w:rPr>
      </w:pPr>
      <w:r w:rsidRPr="124486BD">
        <w:rPr>
          <w:rFonts w:eastAsia="Arial" w:cs="Arial"/>
          <w:szCs w:val="24"/>
        </w:rPr>
        <w:t xml:space="preserve">The </w:t>
      </w:r>
      <w:hyperlink r:id="rId17">
        <w:r w:rsidRPr="124486BD">
          <w:rPr>
            <w:rStyle w:val="Hyperlink"/>
            <w:rFonts w:eastAsia="Arial" w:cs="Arial"/>
            <w:szCs w:val="24"/>
          </w:rPr>
          <w:t>Data (Use and Access) Act 2025</w:t>
        </w:r>
      </w:hyperlink>
      <w:r w:rsidRPr="124486BD">
        <w:rPr>
          <w:rFonts w:eastAsia="Arial" w:cs="Arial"/>
          <w:color w:val="0A0A0A"/>
          <w:szCs w:val="24"/>
        </w:rPr>
        <w:t xml:space="preserve"> (DUAA) is a new UK law, receiving Royal Assent on June 19, 2025, that updates data protection, UK GDPR, and privacy laws. It aims to promote innovation and economic growth by streamlining data usage, introducing "smart data" schemes, and reducing administrative burdens on organisations, while keeping privacy safeguards</w:t>
      </w:r>
      <w:r w:rsidR="24A6DA11" w:rsidRPr="124486BD">
        <w:rPr>
          <w:rFonts w:eastAsia="Arial" w:cs="Arial"/>
          <w:color w:val="0A0A0A"/>
          <w:szCs w:val="24"/>
        </w:rPr>
        <w:t>. It does not replace existing data protection legislation.</w:t>
      </w:r>
    </w:p>
    <w:p w14:paraId="32706F76" w14:textId="6E896745" w:rsidR="00E217F0" w:rsidRPr="00AB0D1C" w:rsidRDefault="00560135" w:rsidP="00AB0D1C">
      <w:pPr>
        <w:tabs>
          <w:tab w:val="left" w:pos="1162"/>
        </w:tabs>
        <w:spacing w:after="240"/>
        <w:rPr>
          <w:rFonts w:cs="Arial"/>
        </w:rPr>
      </w:pPr>
      <w:r w:rsidRPr="00AB0D1C">
        <w:rPr>
          <w:rFonts w:cs="Arial"/>
        </w:rPr>
        <w:t>Data protection law</w:t>
      </w:r>
      <w:r w:rsidR="00EC0F76" w:rsidRPr="00AB0D1C">
        <w:rPr>
          <w:rFonts w:cs="Arial"/>
        </w:rPr>
        <w:t xml:space="preserve"> applies to 'controllers' and 'processors'. </w:t>
      </w:r>
    </w:p>
    <w:p w14:paraId="3C85DD11" w14:textId="556E7BAC" w:rsidR="00EC0F76" w:rsidRPr="00AB0D1C" w:rsidRDefault="00EC0F76" w:rsidP="00AB0D1C">
      <w:pPr>
        <w:tabs>
          <w:tab w:val="left" w:pos="1162"/>
        </w:tabs>
        <w:spacing w:after="240"/>
        <w:rPr>
          <w:rFonts w:cs="Arial"/>
        </w:rPr>
      </w:pPr>
      <w:r w:rsidRPr="00AB0D1C">
        <w:rPr>
          <w:rFonts w:cs="Arial"/>
        </w:rPr>
        <w:t>A controller determines the purposes and means of processing</w:t>
      </w:r>
      <w:r w:rsidR="00E77FB7" w:rsidRPr="00AB0D1C">
        <w:rPr>
          <w:rFonts w:cs="Arial"/>
        </w:rPr>
        <w:t xml:space="preserve"> </w:t>
      </w:r>
      <w:r w:rsidRPr="00AB0D1C">
        <w:rPr>
          <w:rFonts w:cs="Arial"/>
        </w:rPr>
        <w:t>personal data.</w:t>
      </w:r>
    </w:p>
    <w:p w14:paraId="4A8C6585" w14:textId="7EDE718A" w:rsidR="00484927" w:rsidRPr="00AB0D1C" w:rsidRDefault="00EC0F76" w:rsidP="00AB0D1C">
      <w:pPr>
        <w:tabs>
          <w:tab w:val="left" w:pos="1162"/>
        </w:tabs>
        <w:spacing w:after="240"/>
        <w:rPr>
          <w:rFonts w:cs="Arial"/>
        </w:rPr>
      </w:pPr>
      <w:r w:rsidRPr="00AB0D1C">
        <w:rPr>
          <w:rFonts w:cs="Arial"/>
        </w:rPr>
        <w:t>A processor is responsible for processing personal data on behalf</w:t>
      </w:r>
      <w:r w:rsidR="00AB0D1C">
        <w:rPr>
          <w:rFonts w:cs="Arial"/>
        </w:rPr>
        <w:t xml:space="preserve"> </w:t>
      </w:r>
      <w:r w:rsidRPr="00AB0D1C">
        <w:rPr>
          <w:rFonts w:cs="Arial"/>
        </w:rPr>
        <w:t>of a controller.</w:t>
      </w:r>
    </w:p>
    <w:p w14:paraId="27919ACE" w14:textId="77777777" w:rsidR="00484927" w:rsidRPr="00AB0D1C" w:rsidRDefault="00560135" w:rsidP="00AB0D1C">
      <w:pPr>
        <w:tabs>
          <w:tab w:val="left" w:pos="1162"/>
        </w:tabs>
        <w:spacing w:after="240"/>
        <w:rPr>
          <w:rFonts w:cs="Arial"/>
        </w:rPr>
      </w:pPr>
      <w:r w:rsidRPr="00AB0D1C">
        <w:rPr>
          <w:rFonts w:cs="Arial"/>
        </w:rPr>
        <w:t>Data protection law</w:t>
      </w:r>
      <w:r w:rsidR="00EC63FF" w:rsidRPr="00AB0D1C">
        <w:rPr>
          <w:rFonts w:cs="Arial"/>
        </w:rPr>
        <w:t xml:space="preserve"> </w:t>
      </w:r>
      <w:r w:rsidR="00EC0F76" w:rsidRPr="00AB0D1C">
        <w:rPr>
          <w:rFonts w:cs="Arial"/>
        </w:rPr>
        <w:t>applies to processing carried out by</w:t>
      </w:r>
      <w:r w:rsidR="00484927" w:rsidRPr="00AB0D1C">
        <w:rPr>
          <w:rFonts w:cs="Arial"/>
        </w:rPr>
        <w:t xml:space="preserve"> </w:t>
      </w:r>
      <w:r w:rsidR="00EC0F76" w:rsidRPr="00AB0D1C">
        <w:rPr>
          <w:rFonts w:cs="Arial"/>
        </w:rPr>
        <w:t>organisations operating within the UK.</w:t>
      </w:r>
    </w:p>
    <w:p w14:paraId="193B13B4" w14:textId="3547DCA3" w:rsidR="00EC0F76" w:rsidRPr="00AB0D1C" w:rsidRDefault="003D59CF" w:rsidP="00AB0D1C">
      <w:pPr>
        <w:tabs>
          <w:tab w:val="left" w:pos="1162"/>
        </w:tabs>
        <w:spacing w:after="240"/>
        <w:rPr>
          <w:rFonts w:cs="Arial"/>
        </w:rPr>
      </w:pPr>
      <w:r w:rsidRPr="00AB0D1C">
        <w:rPr>
          <w:rFonts w:cs="Arial"/>
        </w:rPr>
        <w:t xml:space="preserve">Data Protection law </w:t>
      </w:r>
      <w:r w:rsidR="00EC0F76" w:rsidRPr="00AB0D1C">
        <w:rPr>
          <w:rFonts w:cs="Arial"/>
        </w:rPr>
        <w:t>does not apply to certain activities including</w:t>
      </w:r>
      <w:r w:rsidR="00484927" w:rsidRPr="00AB0D1C">
        <w:rPr>
          <w:rFonts w:cs="Arial"/>
        </w:rPr>
        <w:t xml:space="preserve"> </w:t>
      </w:r>
      <w:r w:rsidR="00EC0F76" w:rsidRPr="00AB0D1C">
        <w:rPr>
          <w:rFonts w:cs="Arial"/>
        </w:rPr>
        <w:t>processing covered by the Law Enforcement Directive, processing for</w:t>
      </w:r>
      <w:r w:rsidR="00BC1A7B" w:rsidRPr="00AB0D1C">
        <w:rPr>
          <w:rFonts w:cs="Arial"/>
        </w:rPr>
        <w:t xml:space="preserve"> </w:t>
      </w:r>
      <w:r w:rsidR="00EC0F76" w:rsidRPr="00AB0D1C">
        <w:rPr>
          <w:rFonts w:cs="Arial"/>
        </w:rPr>
        <w:t>national security purposes and processing carried out by individuals</w:t>
      </w:r>
      <w:r w:rsidR="00FA143A" w:rsidRPr="00AB0D1C">
        <w:rPr>
          <w:rFonts w:cs="Arial"/>
        </w:rPr>
        <w:t xml:space="preserve"> </w:t>
      </w:r>
      <w:r w:rsidR="00EC0F76" w:rsidRPr="00AB0D1C">
        <w:rPr>
          <w:rFonts w:cs="Arial"/>
        </w:rPr>
        <w:t>purely for personal/household activities.</w:t>
      </w:r>
    </w:p>
    <w:p w14:paraId="6D2EF683" w14:textId="1D7D191F" w:rsidR="005E4BA5" w:rsidRPr="005E4BA5" w:rsidRDefault="003D59CF" w:rsidP="00FE3B43">
      <w:pPr>
        <w:tabs>
          <w:tab w:val="left" w:pos="1162"/>
        </w:tabs>
        <w:spacing w:after="240"/>
        <w:rPr>
          <w:rFonts w:cs="Arial"/>
        </w:rPr>
      </w:pPr>
      <w:r>
        <w:rPr>
          <w:rFonts w:cs="Arial"/>
        </w:rPr>
        <w:t>Data Protection law</w:t>
      </w:r>
      <w:r w:rsidR="005E4BA5" w:rsidRPr="005E4BA5">
        <w:rPr>
          <w:rFonts w:cs="Arial"/>
        </w:rPr>
        <w:t xml:space="preserve"> applies to the processing of personal data that is:</w:t>
      </w:r>
    </w:p>
    <w:p w14:paraId="3DB3FB5F" w14:textId="77777777" w:rsidR="005E4BA5" w:rsidRPr="00E25F0C" w:rsidRDefault="005E4BA5" w:rsidP="00AB0D1C">
      <w:pPr>
        <w:numPr>
          <w:ilvl w:val="3"/>
          <w:numId w:val="37"/>
        </w:numPr>
        <w:spacing w:after="240"/>
        <w:ind w:left="1134"/>
        <w:jc w:val="both"/>
        <w:rPr>
          <w:rFonts w:cs="Arial"/>
          <w:bCs/>
        </w:rPr>
      </w:pPr>
      <w:r w:rsidRPr="00E25F0C">
        <w:rPr>
          <w:rFonts w:cs="Arial"/>
          <w:bCs/>
        </w:rPr>
        <w:t>wholly or partly by automated means; or</w:t>
      </w:r>
    </w:p>
    <w:p w14:paraId="4BD35AC0" w14:textId="5F9FD70D" w:rsidR="00BC1A7B" w:rsidRPr="00E25F0C" w:rsidRDefault="005E4BA5" w:rsidP="00AB0D1C">
      <w:pPr>
        <w:numPr>
          <w:ilvl w:val="3"/>
          <w:numId w:val="37"/>
        </w:numPr>
        <w:spacing w:after="240"/>
        <w:ind w:left="1134"/>
        <w:jc w:val="both"/>
        <w:rPr>
          <w:rFonts w:cs="Arial"/>
          <w:bCs/>
        </w:rPr>
      </w:pPr>
      <w:r w:rsidRPr="00E25F0C">
        <w:rPr>
          <w:rFonts w:cs="Arial"/>
          <w:bCs/>
        </w:rPr>
        <w:t>the processing other than by automated means of personal data which forms part of, or is intended to form part of, a filing system.</w:t>
      </w:r>
    </w:p>
    <w:p w14:paraId="113BDAB7" w14:textId="1209F2F4" w:rsidR="005E4BA5" w:rsidRPr="00E25F0C" w:rsidRDefault="00BC1A7B" w:rsidP="00AB0D1C">
      <w:pPr>
        <w:numPr>
          <w:ilvl w:val="3"/>
          <w:numId w:val="37"/>
        </w:numPr>
        <w:spacing w:after="240"/>
        <w:ind w:left="1134"/>
        <w:jc w:val="both"/>
        <w:rPr>
          <w:rFonts w:cs="Arial"/>
          <w:bCs/>
        </w:rPr>
      </w:pPr>
      <w:r w:rsidRPr="00E25F0C">
        <w:rPr>
          <w:rFonts w:cs="Arial"/>
          <w:bCs/>
        </w:rPr>
        <w:t>p</w:t>
      </w:r>
      <w:r w:rsidR="005E4BA5" w:rsidRPr="00E25F0C">
        <w:rPr>
          <w:rFonts w:cs="Arial"/>
          <w:bCs/>
        </w:rPr>
        <w:t>ersonal data only includes information relating to natural persons who:</w:t>
      </w:r>
    </w:p>
    <w:p w14:paraId="3E966EEE" w14:textId="1C339A69" w:rsidR="00BC1A7B" w:rsidRPr="00E25F0C" w:rsidRDefault="005E4BA5" w:rsidP="00AB0D1C">
      <w:pPr>
        <w:numPr>
          <w:ilvl w:val="3"/>
          <w:numId w:val="42"/>
        </w:numPr>
        <w:spacing w:after="240"/>
        <w:ind w:left="1560"/>
        <w:jc w:val="both"/>
        <w:rPr>
          <w:rFonts w:cs="Arial"/>
          <w:bCs/>
        </w:rPr>
      </w:pPr>
      <w:r w:rsidRPr="00E25F0C">
        <w:rPr>
          <w:rFonts w:cs="Arial"/>
          <w:bCs/>
        </w:rPr>
        <w:t>can be identified or who are identifiable, directly from the information in question; or</w:t>
      </w:r>
      <w:r w:rsidR="00BC1A7B" w:rsidRPr="00E25F0C">
        <w:rPr>
          <w:rFonts w:cs="Arial"/>
          <w:bCs/>
        </w:rPr>
        <w:t xml:space="preserve"> </w:t>
      </w:r>
      <w:r w:rsidRPr="00E25F0C">
        <w:rPr>
          <w:rFonts w:cs="Arial"/>
          <w:bCs/>
        </w:rPr>
        <w:t>who can be indirectly identified from that information in combination</w:t>
      </w:r>
      <w:r w:rsidR="00BC1A7B" w:rsidRPr="00E25F0C">
        <w:rPr>
          <w:rFonts w:cs="Arial"/>
          <w:bCs/>
        </w:rPr>
        <w:t xml:space="preserve"> </w:t>
      </w:r>
      <w:r w:rsidRPr="00E25F0C">
        <w:rPr>
          <w:rFonts w:cs="Arial"/>
          <w:bCs/>
        </w:rPr>
        <w:t>with other information.</w:t>
      </w:r>
    </w:p>
    <w:p w14:paraId="5765CE43" w14:textId="472CCF2C" w:rsidR="00BC1A7B" w:rsidRPr="00E25F0C" w:rsidRDefault="00BC1A7B" w:rsidP="124486BD">
      <w:pPr>
        <w:numPr>
          <w:ilvl w:val="3"/>
          <w:numId w:val="42"/>
        </w:numPr>
        <w:spacing w:after="240"/>
        <w:ind w:left="1560"/>
        <w:jc w:val="both"/>
        <w:rPr>
          <w:rFonts w:cs="Arial"/>
        </w:rPr>
      </w:pPr>
      <w:r w:rsidRPr="124486BD">
        <w:rPr>
          <w:rFonts w:cs="Arial"/>
        </w:rPr>
        <w:t>p</w:t>
      </w:r>
      <w:r w:rsidR="005E4BA5" w:rsidRPr="124486BD">
        <w:rPr>
          <w:rFonts w:cs="Arial"/>
        </w:rPr>
        <w:t xml:space="preserve">ersonal data may also include special categories of personal data or criminal conviction and offences data. These </w:t>
      </w:r>
      <w:bookmarkStart w:id="32" w:name="_Int_KJHSm3bn"/>
      <w:proofErr w:type="gramStart"/>
      <w:r w:rsidR="005E4BA5" w:rsidRPr="124486BD">
        <w:rPr>
          <w:rFonts w:cs="Arial"/>
        </w:rPr>
        <w:t>are considered to be</w:t>
      </w:r>
      <w:bookmarkEnd w:id="32"/>
      <w:proofErr w:type="gramEnd"/>
      <w:r w:rsidR="005E4BA5" w:rsidRPr="124486BD">
        <w:rPr>
          <w:rFonts w:cs="Arial"/>
        </w:rPr>
        <w:t xml:space="preserve"> more </w:t>
      </w:r>
      <w:r w:rsidRPr="124486BD">
        <w:rPr>
          <w:rFonts w:cs="Arial"/>
        </w:rPr>
        <w:t>sensitive,</w:t>
      </w:r>
      <w:r w:rsidR="005E4BA5" w:rsidRPr="124486BD">
        <w:rPr>
          <w:rFonts w:cs="Arial"/>
        </w:rPr>
        <w:t xml:space="preserve"> and you may only process them in more limited circumstances.</w:t>
      </w:r>
    </w:p>
    <w:p w14:paraId="2DAE0CF8" w14:textId="1D149CA9" w:rsidR="00BC1A7B" w:rsidRPr="00E25F0C" w:rsidRDefault="005E4BA5" w:rsidP="00AB0D1C">
      <w:pPr>
        <w:numPr>
          <w:ilvl w:val="3"/>
          <w:numId w:val="37"/>
        </w:numPr>
        <w:spacing w:after="240"/>
        <w:ind w:left="1134"/>
        <w:jc w:val="both"/>
        <w:rPr>
          <w:rFonts w:cs="Arial"/>
          <w:bCs/>
        </w:rPr>
      </w:pPr>
      <w:r w:rsidRPr="00E25F0C">
        <w:rPr>
          <w:rFonts w:cs="Arial"/>
          <w:bCs/>
        </w:rPr>
        <w:t>Pseudonymised data can help reduce privacy risks by making it more difficult to identify individuals, but it is still personal data.</w:t>
      </w:r>
    </w:p>
    <w:p w14:paraId="29083D7A" w14:textId="04C530D6" w:rsidR="00BC1A7B" w:rsidRPr="00E25F0C" w:rsidRDefault="005E4BA5" w:rsidP="7AC1B05A">
      <w:pPr>
        <w:numPr>
          <w:ilvl w:val="3"/>
          <w:numId w:val="37"/>
        </w:numPr>
        <w:spacing w:after="240"/>
        <w:ind w:left="1134"/>
        <w:jc w:val="both"/>
        <w:rPr>
          <w:rFonts w:cs="Arial"/>
        </w:rPr>
      </w:pPr>
      <w:r w:rsidRPr="7AC1B05A">
        <w:rPr>
          <w:rFonts w:cs="Arial"/>
        </w:rPr>
        <w:t xml:space="preserve">If personal data can be truly </w:t>
      </w:r>
      <w:r w:rsidR="004F5037" w:rsidRPr="7AC1B05A">
        <w:rPr>
          <w:rFonts w:cs="Arial"/>
        </w:rPr>
        <w:t>anonymised,</w:t>
      </w:r>
      <w:r w:rsidRPr="7AC1B05A">
        <w:rPr>
          <w:rFonts w:cs="Arial"/>
        </w:rPr>
        <w:t xml:space="preserve"> then the anonymised data is not subject to the </w:t>
      </w:r>
      <w:r w:rsidR="002B17CF" w:rsidRPr="7AC1B05A">
        <w:rPr>
          <w:rFonts w:cs="Arial"/>
        </w:rPr>
        <w:t xml:space="preserve">Data Protection Act 2018 or the </w:t>
      </w:r>
      <w:r w:rsidRPr="7AC1B05A">
        <w:rPr>
          <w:rFonts w:cs="Arial"/>
        </w:rPr>
        <w:t>UK GDPR. It is important to understand what personal data is</w:t>
      </w:r>
      <w:r w:rsidR="24EF2447" w:rsidRPr="7AC1B05A">
        <w:rPr>
          <w:rFonts w:cs="Arial"/>
        </w:rPr>
        <w:t xml:space="preserve"> processed</w:t>
      </w:r>
      <w:r w:rsidRPr="7AC1B05A">
        <w:rPr>
          <w:rFonts w:cs="Arial"/>
        </w:rPr>
        <w:t xml:space="preserve"> </w:t>
      </w:r>
      <w:proofErr w:type="gramStart"/>
      <w:r w:rsidRPr="7AC1B05A">
        <w:rPr>
          <w:rFonts w:cs="Arial"/>
        </w:rPr>
        <w:t>in order to</w:t>
      </w:r>
      <w:proofErr w:type="gramEnd"/>
      <w:r w:rsidRPr="7AC1B05A">
        <w:rPr>
          <w:rFonts w:cs="Arial"/>
        </w:rPr>
        <w:t xml:space="preserve"> understand if the data has been anonymised.</w:t>
      </w:r>
    </w:p>
    <w:p w14:paraId="50494123" w14:textId="2BAB46A4" w:rsidR="00BC1A7B" w:rsidRPr="00E25F0C" w:rsidRDefault="005E4BA5" w:rsidP="4BE60562">
      <w:pPr>
        <w:numPr>
          <w:ilvl w:val="3"/>
          <w:numId w:val="37"/>
        </w:numPr>
        <w:spacing w:after="240"/>
        <w:ind w:left="1134"/>
        <w:jc w:val="both"/>
        <w:rPr>
          <w:rFonts w:cs="Arial"/>
        </w:rPr>
      </w:pPr>
      <w:r w:rsidRPr="7AC1B05A">
        <w:rPr>
          <w:rFonts w:cs="Arial"/>
        </w:rPr>
        <w:t>Information about a deceased person does not constitute personal data and therefore is not subject to the UK GDPR.</w:t>
      </w:r>
      <w:r w:rsidR="30590752" w:rsidRPr="7AC1B05A">
        <w:rPr>
          <w:rFonts w:cs="Arial"/>
        </w:rPr>
        <w:t xml:space="preserve"> It </w:t>
      </w:r>
      <w:r w:rsidR="6DF4660C" w:rsidRPr="7AC1B05A">
        <w:rPr>
          <w:rFonts w:cs="Arial"/>
        </w:rPr>
        <w:t>is,</w:t>
      </w:r>
      <w:r w:rsidR="30590752" w:rsidRPr="7AC1B05A">
        <w:rPr>
          <w:rFonts w:cs="Arial"/>
        </w:rPr>
        <w:t xml:space="preserve"> however, subject to the Access to Health Records Act 1990.</w:t>
      </w:r>
    </w:p>
    <w:p w14:paraId="550515B5" w14:textId="44D36DB8" w:rsidR="00BC1A7B" w:rsidRPr="00E25F0C" w:rsidRDefault="005E4BA5" w:rsidP="00AB0D1C">
      <w:pPr>
        <w:numPr>
          <w:ilvl w:val="3"/>
          <w:numId w:val="37"/>
        </w:numPr>
        <w:spacing w:after="240"/>
        <w:ind w:left="1134"/>
        <w:jc w:val="both"/>
        <w:rPr>
          <w:rFonts w:cs="Arial"/>
          <w:bCs/>
        </w:rPr>
      </w:pPr>
      <w:r w:rsidRPr="00E25F0C">
        <w:rPr>
          <w:rFonts w:cs="Arial"/>
          <w:bCs/>
        </w:rPr>
        <w:t>Information about companies or public authorities is not personal data.</w:t>
      </w:r>
    </w:p>
    <w:p w14:paraId="7BF762BC" w14:textId="6C4C69E2" w:rsidR="005E4BA5" w:rsidRPr="00E25F0C" w:rsidRDefault="005E4BA5" w:rsidP="00AB0D1C">
      <w:pPr>
        <w:numPr>
          <w:ilvl w:val="3"/>
          <w:numId w:val="37"/>
        </w:numPr>
        <w:spacing w:after="240"/>
        <w:ind w:left="1134"/>
        <w:jc w:val="both"/>
        <w:rPr>
          <w:rFonts w:cs="Arial"/>
          <w:bCs/>
        </w:rPr>
      </w:pPr>
      <w:r w:rsidRPr="00E25F0C">
        <w:rPr>
          <w:rFonts w:cs="Arial"/>
          <w:bCs/>
        </w:rPr>
        <w:t xml:space="preserve">However, information about individuals acting as sole traders, employees, </w:t>
      </w:r>
      <w:r w:rsidR="004F5037" w:rsidRPr="00E25F0C">
        <w:rPr>
          <w:rFonts w:cs="Arial"/>
          <w:bCs/>
        </w:rPr>
        <w:t>partners,</w:t>
      </w:r>
      <w:r w:rsidRPr="00E25F0C">
        <w:rPr>
          <w:rFonts w:cs="Arial"/>
          <w:bCs/>
        </w:rPr>
        <w:t xml:space="preserve"> and company directors where they are individually </w:t>
      </w:r>
      <w:r w:rsidR="00BC1A7B" w:rsidRPr="00E25F0C">
        <w:rPr>
          <w:rFonts w:cs="Arial"/>
          <w:bCs/>
        </w:rPr>
        <w:t>identifiable,</w:t>
      </w:r>
      <w:r w:rsidRPr="00E25F0C">
        <w:rPr>
          <w:rFonts w:cs="Arial"/>
          <w:bCs/>
        </w:rPr>
        <w:t xml:space="preserve"> and the information relates to them as an individual may constitute personal data.</w:t>
      </w:r>
    </w:p>
    <w:p w14:paraId="7E8527A7" w14:textId="77777777" w:rsidR="005B1CD3" w:rsidRDefault="005B1CD3" w:rsidP="005B1CD3">
      <w:pPr>
        <w:numPr>
          <w:ilvl w:val="0"/>
          <w:numId w:val="12"/>
        </w:numPr>
        <w:tabs>
          <w:tab w:val="clear" w:pos="902"/>
          <w:tab w:val="left" w:pos="1162"/>
        </w:tabs>
        <w:spacing w:after="240"/>
        <w:ind w:left="1162" w:hanging="1162"/>
        <w:rPr>
          <w:rFonts w:cs="Arial"/>
          <w:b/>
        </w:rPr>
      </w:pPr>
      <w:r w:rsidRPr="005B1CD3">
        <w:rPr>
          <w:rFonts w:cs="Arial"/>
          <w:b/>
        </w:rPr>
        <w:t>NHS and Related Guidance</w:t>
      </w:r>
      <w:r>
        <w:rPr>
          <w:rFonts w:cs="Arial"/>
          <w:b/>
        </w:rPr>
        <w:t xml:space="preserve"> </w:t>
      </w:r>
    </w:p>
    <w:p w14:paraId="7E8527A8" w14:textId="77777777" w:rsidR="005B1CD3" w:rsidRDefault="005B1CD3" w:rsidP="005B1CD3">
      <w:pPr>
        <w:numPr>
          <w:ilvl w:val="1"/>
          <w:numId w:val="12"/>
        </w:numPr>
        <w:tabs>
          <w:tab w:val="clear" w:pos="902"/>
          <w:tab w:val="left" w:pos="1162"/>
        </w:tabs>
        <w:spacing w:after="240"/>
        <w:ind w:left="1162" w:hanging="1162"/>
        <w:rPr>
          <w:rFonts w:cs="Arial"/>
        </w:rPr>
      </w:pPr>
      <w:r w:rsidRPr="005B1CD3">
        <w:rPr>
          <w:rFonts w:cs="Arial"/>
          <w:b/>
        </w:rPr>
        <w:t>Confidentiality: NHS Code of Practice</w:t>
      </w:r>
      <w:r>
        <w:rPr>
          <w:rFonts w:cs="Arial"/>
        </w:rPr>
        <w:t xml:space="preserve"> </w:t>
      </w:r>
    </w:p>
    <w:p w14:paraId="7E8527A9" w14:textId="77777777" w:rsidR="005B1CD3" w:rsidRDefault="005B1CD3" w:rsidP="005B1CD3">
      <w:pPr>
        <w:numPr>
          <w:ilvl w:val="2"/>
          <w:numId w:val="12"/>
        </w:numPr>
        <w:tabs>
          <w:tab w:val="clear" w:pos="902"/>
          <w:tab w:val="left" w:pos="1162"/>
        </w:tabs>
        <w:spacing w:after="240"/>
        <w:ind w:left="1162" w:hanging="1162"/>
        <w:rPr>
          <w:rFonts w:cs="Arial"/>
        </w:rPr>
      </w:pPr>
      <w:r w:rsidRPr="124486BD">
        <w:rPr>
          <w:rFonts w:cs="Arial"/>
        </w:rPr>
        <w:t xml:space="preserve">This provides detailed guidance for NHS bodies concerning confidentiality and patients’ consent to use their health information. It also details the required practice the NHS must take concerning security, identifying the main legal responsibilities for an organisation </w:t>
      </w:r>
      <w:proofErr w:type="gramStart"/>
      <w:r w:rsidRPr="124486BD">
        <w:rPr>
          <w:rFonts w:cs="Arial"/>
        </w:rPr>
        <w:t>and also</w:t>
      </w:r>
      <w:proofErr w:type="gramEnd"/>
      <w:r w:rsidRPr="124486BD">
        <w:rPr>
          <w:rFonts w:cs="Arial"/>
        </w:rPr>
        <w:t xml:space="preserve"> details employees’ responsibilities (</w:t>
      </w:r>
      <w:hyperlink r:id="rId18">
        <w:r w:rsidRPr="124486BD">
          <w:rPr>
            <w:rStyle w:val="Hyperlink"/>
            <w:rFonts w:cs="Arial"/>
          </w:rPr>
          <w:t>www.dh.gov.uk</w:t>
        </w:r>
      </w:hyperlink>
      <w:r w:rsidRPr="124486BD">
        <w:rPr>
          <w:rFonts w:cs="Arial"/>
        </w:rPr>
        <w:t xml:space="preserve">). </w:t>
      </w:r>
    </w:p>
    <w:p w14:paraId="4D4F3C25" w14:textId="7ED11331" w:rsidR="4BE60562" w:rsidRDefault="4BE60562" w:rsidP="124486BD">
      <w:pPr>
        <w:tabs>
          <w:tab w:val="left" w:pos="1162"/>
        </w:tabs>
        <w:spacing w:after="240"/>
        <w:rPr>
          <w:rFonts w:cs="Arial"/>
        </w:rPr>
      </w:pPr>
    </w:p>
    <w:p w14:paraId="52BFA418" w14:textId="207CD2C7" w:rsidR="4BE60562" w:rsidRDefault="4BE60562" w:rsidP="4BE60562">
      <w:pPr>
        <w:tabs>
          <w:tab w:val="left" w:pos="1162"/>
        </w:tabs>
        <w:spacing w:after="240"/>
        <w:rPr>
          <w:rFonts w:cs="Arial"/>
        </w:rPr>
      </w:pPr>
    </w:p>
    <w:p w14:paraId="7E8527AA" w14:textId="77777777" w:rsidR="005B1CD3" w:rsidRPr="005B1CD3" w:rsidRDefault="005B1CD3" w:rsidP="005B1CD3">
      <w:pPr>
        <w:numPr>
          <w:ilvl w:val="1"/>
          <w:numId w:val="12"/>
        </w:numPr>
        <w:tabs>
          <w:tab w:val="clear" w:pos="902"/>
          <w:tab w:val="left" w:pos="1162"/>
        </w:tabs>
        <w:spacing w:after="240"/>
        <w:ind w:left="1162" w:hanging="1162"/>
        <w:rPr>
          <w:rFonts w:cs="Arial"/>
        </w:rPr>
      </w:pPr>
      <w:r w:rsidRPr="005B1CD3">
        <w:rPr>
          <w:rFonts w:cs="Arial"/>
          <w:b/>
        </w:rPr>
        <w:t>Employee Code of Practice</w:t>
      </w:r>
      <w:r>
        <w:rPr>
          <w:rFonts w:cs="Arial"/>
          <w:b/>
        </w:rPr>
        <w:t xml:space="preserve"> </w:t>
      </w:r>
    </w:p>
    <w:p w14:paraId="7E8527AB" w14:textId="7562A814" w:rsidR="005B1CD3" w:rsidRDefault="005B1CD3" w:rsidP="005B1CD3">
      <w:pPr>
        <w:numPr>
          <w:ilvl w:val="2"/>
          <w:numId w:val="12"/>
        </w:numPr>
        <w:tabs>
          <w:tab w:val="clear" w:pos="902"/>
          <w:tab w:val="left" w:pos="1162"/>
        </w:tabs>
        <w:spacing w:after="240"/>
        <w:ind w:left="1162" w:hanging="1162"/>
        <w:rPr>
          <w:rFonts w:cs="Arial"/>
        </w:rPr>
      </w:pPr>
      <w:r w:rsidRPr="005B1CD3">
        <w:rPr>
          <w:rFonts w:cs="Arial"/>
        </w:rPr>
        <w:t xml:space="preserve">This is guidance produced by the Information Commissioner detailing the data protection requirements that relate to staff/ employee and other individuals’ information </w:t>
      </w:r>
      <w:hyperlink r:id="rId19" w:history="1">
        <w:r w:rsidRPr="005B1CD3">
          <w:rPr>
            <w:rStyle w:val="Hyperlink"/>
            <w:rFonts w:cs="Arial"/>
          </w:rPr>
          <w:t>www.ico.gov.uk.</w:t>
        </w:r>
      </w:hyperlink>
      <w:r>
        <w:rPr>
          <w:rFonts w:cs="Arial"/>
        </w:rPr>
        <w:t xml:space="preserve"> </w:t>
      </w:r>
    </w:p>
    <w:p w14:paraId="0EC77708" w14:textId="5FE0F48F" w:rsidR="004F5037" w:rsidRPr="004F5037" w:rsidRDefault="004F5037" w:rsidP="004F5037">
      <w:pPr>
        <w:pStyle w:val="ListParagraph"/>
        <w:numPr>
          <w:ilvl w:val="2"/>
          <w:numId w:val="12"/>
        </w:numPr>
        <w:rPr>
          <w:rFonts w:cs="Arial"/>
        </w:rPr>
      </w:pPr>
      <w:r w:rsidRPr="124486BD">
        <w:rPr>
          <w:rFonts w:cs="Arial"/>
        </w:rPr>
        <w:t xml:space="preserve">    NHS</w:t>
      </w:r>
      <w:r w:rsidR="752C55C3" w:rsidRPr="124486BD">
        <w:rPr>
          <w:rFonts w:cs="Arial"/>
        </w:rPr>
        <w:t>E</w:t>
      </w:r>
      <w:r w:rsidRPr="124486BD">
        <w:rPr>
          <w:rFonts w:cs="Arial"/>
        </w:rPr>
        <w:t xml:space="preserve"> Records Management Code of Practice 202</w:t>
      </w:r>
      <w:r w:rsidR="619E4C3C" w:rsidRPr="124486BD">
        <w:rPr>
          <w:rFonts w:cs="Arial"/>
        </w:rPr>
        <w:t>3</w:t>
      </w:r>
    </w:p>
    <w:p w14:paraId="64D707EA" w14:textId="77777777" w:rsidR="004F5037" w:rsidRPr="004F5037" w:rsidRDefault="004F5037" w:rsidP="008A32C3">
      <w:pPr>
        <w:pStyle w:val="ListParagraph"/>
        <w:ind w:left="902"/>
        <w:rPr>
          <w:rFonts w:cs="Arial"/>
        </w:rPr>
      </w:pPr>
    </w:p>
    <w:p w14:paraId="7E8527AF" w14:textId="77777777" w:rsidR="005B1CD3" w:rsidRDefault="005B1CD3" w:rsidP="005B1CD3">
      <w:pPr>
        <w:numPr>
          <w:ilvl w:val="2"/>
          <w:numId w:val="12"/>
        </w:numPr>
        <w:tabs>
          <w:tab w:val="clear" w:pos="902"/>
          <w:tab w:val="left" w:pos="1162"/>
        </w:tabs>
        <w:spacing w:after="240"/>
        <w:ind w:left="1162" w:hanging="1162"/>
        <w:rPr>
          <w:rFonts w:cs="Arial"/>
        </w:rPr>
      </w:pPr>
      <w:r w:rsidRPr="005B1CD3">
        <w:rPr>
          <w:rFonts w:cs="Arial"/>
        </w:rPr>
        <w:t>Provides guidance to improve the management of NHS records, explains the requirements to select records for permanent preservation, lists suggested minimum requirements for records retention and applies to all information, regardless of the media, applicable to all personnel within the NHS such as patients, employees, volunteers etc. It aids compliance with the Data Protection and Freedom of Information Acts (</w:t>
      </w:r>
      <w:hyperlink r:id="rId20" w:history="1">
        <w:r w:rsidRPr="005B1CD3">
          <w:rPr>
            <w:rStyle w:val="Hyperlink"/>
            <w:rFonts w:cs="Arial"/>
          </w:rPr>
          <w:t>www.dh.gov.uk</w:t>
        </w:r>
      </w:hyperlink>
      <w:r w:rsidRPr="005B1CD3">
        <w:rPr>
          <w:rFonts w:cs="Arial"/>
        </w:rPr>
        <w:t xml:space="preserve"> search by circular details).</w:t>
      </w:r>
      <w:r>
        <w:rPr>
          <w:rFonts w:cs="Arial"/>
        </w:rPr>
        <w:t xml:space="preserve"> </w:t>
      </w:r>
    </w:p>
    <w:p w14:paraId="7E8527B0" w14:textId="77777777" w:rsidR="005B1CD3" w:rsidRDefault="005B1CD3" w:rsidP="005B1CD3">
      <w:pPr>
        <w:numPr>
          <w:ilvl w:val="1"/>
          <w:numId w:val="12"/>
        </w:numPr>
        <w:tabs>
          <w:tab w:val="clear" w:pos="902"/>
          <w:tab w:val="left" w:pos="1162"/>
        </w:tabs>
        <w:spacing w:after="240"/>
        <w:ind w:left="1162" w:hanging="1162"/>
        <w:rPr>
          <w:rFonts w:cs="Arial"/>
          <w:b/>
        </w:rPr>
      </w:pPr>
      <w:r w:rsidRPr="005B1CD3">
        <w:rPr>
          <w:rFonts w:cs="Arial"/>
          <w:b/>
        </w:rPr>
        <w:t>ISO/IEC 17799 Information Security Standards</w:t>
      </w:r>
      <w:r>
        <w:rPr>
          <w:rFonts w:cs="Arial"/>
          <w:b/>
        </w:rPr>
        <w:t xml:space="preserve"> </w:t>
      </w:r>
    </w:p>
    <w:p w14:paraId="7E8527B1" w14:textId="6C2ACECE" w:rsidR="005B1CD3" w:rsidRPr="005B1CD3" w:rsidRDefault="005B1CD3" w:rsidP="005B1CD3">
      <w:pPr>
        <w:numPr>
          <w:ilvl w:val="2"/>
          <w:numId w:val="12"/>
        </w:numPr>
        <w:tabs>
          <w:tab w:val="clear" w:pos="902"/>
          <w:tab w:val="left" w:pos="1162"/>
        </w:tabs>
        <w:spacing w:after="240"/>
        <w:ind w:left="1162" w:hanging="1162"/>
        <w:rPr>
          <w:rFonts w:cs="Arial"/>
          <w:b/>
        </w:rPr>
      </w:pPr>
      <w:r w:rsidRPr="005B1CD3">
        <w:rPr>
          <w:rFonts w:cs="Arial"/>
        </w:rPr>
        <w:t xml:space="preserve">This is the accepted industry standard for Information Management and Security. This standard has been adopted by all NHS organisations. It is also a recommended legal requirement under </w:t>
      </w:r>
      <w:r w:rsidR="004258A2">
        <w:rPr>
          <w:rFonts w:cs="Arial"/>
        </w:rPr>
        <w:t xml:space="preserve">the </w:t>
      </w:r>
      <w:r w:rsidRPr="005B1CD3">
        <w:rPr>
          <w:rFonts w:cs="Arial"/>
        </w:rPr>
        <w:t>Data Protection Act</w:t>
      </w:r>
      <w:r w:rsidR="004258A2">
        <w:rPr>
          <w:rFonts w:cs="Arial"/>
        </w:rPr>
        <w:t xml:space="preserve"> 2018</w:t>
      </w:r>
      <w:r w:rsidRPr="005B1CD3">
        <w:rPr>
          <w:rFonts w:cs="Arial"/>
        </w:rPr>
        <w:t>.</w:t>
      </w:r>
    </w:p>
    <w:p w14:paraId="7E8527B2" w14:textId="77777777" w:rsidR="005B1CD3" w:rsidRPr="0008774E" w:rsidRDefault="005B1CD3" w:rsidP="0008774E">
      <w:pPr>
        <w:pageBreakBefore/>
        <w:spacing w:before="360" w:after="240"/>
        <w:outlineLvl w:val="0"/>
        <w:rPr>
          <w:rFonts w:cs="Arial"/>
          <w:b/>
          <w:bCs/>
          <w:sz w:val="28"/>
          <w:szCs w:val="28"/>
        </w:rPr>
      </w:pPr>
      <w:bookmarkStart w:id="33" w:name="_Toc132635600"/>
      <w:r w:rsidRPr="0008774E">
        <w:rPr>
          <w:rFonts w:cs="Arial"/>
          <w:b/>
          <w:bCs/>
          <w:sz w:val="28"/>
          <w:szCs w:val="28"/>
        </w:rPr>
        <w:t>Appendix 2: Other Relevant Acts of Parliament</w:t>
      </w:r>
      <w:bookmarkEnd w:id="33"/>
    </w:p>
    <w:p w14:paraId="7E8527B3" w14:textId="77777777" w:rsidR="003450CB" w:rsidRDefault="003450CB" w:rsidP="003450CB">
      <w:pPr>
        <w:numPr>
          <w:ilvl w:val="0"/>
          <w:numId w:val="13"/>
        </w:numPr>
        <w:tabs>
          <w:tab w:val="clear" w:pos="902"/>
          <w:tab w:val="left" w:pos="1162"/>
        </w:tabs>
        <w:spacing w:after="240"/>
        <w:ind w:left="1166" w:hangingChars="484" w:hanging="1166"/>
        <w:rPr>
          <w:rFonts w:cs="Arial"/>
          <w:b/>
        </w:rPr>
      </w:pPr>
      <w:r>
        <w:rPr>
          <w:rFonts w:cs="Arial"/>
          <w:b/>
        </w:rPr>
        <w:t xml:space="preserve">Access to Health Records 1990 </w:t>
      </w:r>
    </w:p>
    <w:p w14:paraId="7E8527B4" w14:textId="77777777" w:rsid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This Act gives patients’ representatives right of access to their manually held health records, in respect of information recorded on or after 1 November 1991. This Act is only applicable for access to deceased persons’ records. All other requests for access to information by living individuals are handled under the access provisions of the Data Protection Act 1998.</w:t>
      </w:r>
      <w:r w:rsidR="003450CB">
        <w:rPr>
          <w:rFonts w:cs="Arial"/>
        </w:rPr>
        <w:t xml:space="preserve"> </w:t>
      </w:r>
    </w:p>
    <w:p w14:paraId="7E8527B5" w14:textId="77777777" w:rsidR="003450CB" w:rsidRDefault="00AF71D2" w:rsidP="003450CB">
      <w:pPr>
        <w:numPr>
          <w:ilvl w:val="0"/>
          <w:numId w:val="13"/>
        </w:numPr>
        <w:tabs>
          <w:tab w:val="clear" w:pos="902"/>
          <w:tab w:val="left" w:pos="1162"/>
        </w:tabs>
        <w:spacing w:after="240"/>
        <w:ind w:left="1162" w:hanging="1162"/>
        <w:rPr>
          <w:rFonts w:cs="Arial"/>
          <w:b/>
        </w:rPr>
      </w:pPr>
      <w:r w:rsidRPr="003450CB">
        <w:rPr>
          <w:rFonts w:cs="Arial"/>
          <w:b/>
        </w:rPr>
        <w:t>Access to Medical Reports Act 1988</w:t>
      </w:r>
      <w:r w:rsidR="003450CB">
        <w:rPr>
          <w:rFonts w:cs="Arial"/>
          <w:b/>
        </w:rPr>
        <w:t xml:space="preserve"> </w:t>
      </w:r>
    </w:p>
    <w:p w14:paraId="7E8527B6" w14:textId="77777777" w:rsid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This Act allows those who have had a medical report produced for the purposes of employment and/ or insurance to obtain a copy of the content of the report prior to it being disclosed to any potential employer and/ or prospective insurance company.</w:t>
      </w:r>
      <w:r w:rsidR="003450CB">
        <w:rPr>
          <w:rFonts w:cs="Arial"/>
        </w:rPr>
        <w:t xml:space="preserve"> </w:t>
      </w:r>
    </w:p>
    <w:p w14:paraId="7E8527B7" w14:textId="77777777" w:rsidR="003450CB" w:rsidRPr="003450CB" w:rsidRDefault="00AF71D2" w:rsidP="003450CB">
      <w:pPr>
        <w:numPr>
          <w:ilvl w:val="0"/>
          <w:numId w:val="13"/>
        </w:numPr>
        <w:tabs>
          <w:tab w:val="clear" w:pos="902"/>
          <w:tab w:val="left" w:pos="1162"/>
        </w:tabs>
        <w:spacing w:after="240"/>
        <w:ind w:left="1162" w:hanging="1162"/>
        <w:rPr>
          <w:rFonts w:cs="Arial"/>
        </w:rPr>
      </w:pPr>
      <w:r w:rsidRPr="003450CB">
        <w:rPr>
          <w:rFonts w:cs="Arial"/>
          <w:b/>
        </w:rPr>
        <w:t>Human Rights Act 1998</w:t>
      </w:r>
      <w:r w:rsidR="003450CB">
        <w:rPr>
          <w:rFonts w:cs="Arial"/>
          <w:b/>
        </w:rPr>
        <w:t xml:space="preserve"> </w:t>
      </w:r>
    </w:p>
    <w:p w14:paraId="7E8527B8" w14:textId="77777777" w:rsidR="00AF71D2" w:rsidRPr="003450CB" w:rsidRDefault="00AF71D2" w:rsidP="00A86741">
      <w:pPr>
        <w:numPr>
          <w:ilvl w:val="1"/>
          <w:numId w:val="13"/>
        </w:numPr>
        <w:tabs>
          <w:tab w:val="clear" w:pos="902"/>
          <w:tab w:val="left" w:pos="1162"/>
        </w:tabs>
        <w:spacing w:after="240"/>
        <w:ind w:left="1162" w:hanging="1162"/>
        <w:jc w:val="both"/>
        <w:rPr>
          <w:rFonts w:cs="Arial"/>
        </w:rPr>
      </w:pPr>
      <w:r w:rsidRPr="124486BD">
        <w:rPr>
          <w:rFonts w:cs="Arial"/>
        </w:rPr>
        <w:t xml:space="preserve">This Act became law on 2 October 2000. It binds public authorities, including all Trusts and individual doctors treating NHS patients, to respect and protect an individual’s human rights. This will include an individual’s right to privacy (under Article 8) and their right to </w:t>
      </w:r>
      <w:bookmarkStart w:id="34" w:name="_Int_PYyk3KD8"/>
      <w:proofErr w:type="gramStart"/>
      <w:r w:rsidRPr="124486BD">
        <w:rPr>
          <w:rFonts w:cs="Arial"/>
        </w:rPr>
        <w:t>expect confidentiality of their information at all times</w:t>
      </w:r>
      <w:bookmarkEnd w:id="34"/>
      <w:proofErr w:type="gramEnd"/>
      <w:r w:rsidRPr="124486BD">
        <w:rPr>
          <w:rFonts w:cs="Arial"/>
        </w:rPr>
        <w:t>.</w:t>
      </w:r>
    </w:p>
    <w:p w14:paraId="7E8527B9" w14:textId="77777777" w:rsidR="00AF71D2" w:rsidRP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Article 8 of the Act provides that ‘everyone has the right to respect for his private and family life, his home and his correspondence’. However, this article also states ‘there shall be no interference by a public authority with the exercise of this right except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7E8527BA" w14:textId="77777777" w:rsidR="003450CB" w:rsidRDefault="00AF71D2" w:rsidP="003450CB">
      <w:pPr>
        <w:numPr>
          <w:ilvl w:val="1"/>
          <w:numId w:val="13"/>
        </w:numPr>
        <w:tabs>
          <w:tab w:val="clear" w:pos="902"/>
          <w:tab w:val="left" w:pos="1162"/>
        </w:tabs>
        <w:spacing w:after="240"/>
        <w:ind w:left="1162" w:hanging="1162"/>
        <w:rPr>
          <w:rFonts w:cs="Arial"/>
        </w:rPr>
      </w:pPr>
      <w:r w:rsidRPr="003450CB">
        <w:rPr>
          <w:rFonts w:cs="Arial"/>
        </w:rPr>
        <w:t>Each organisation must act in a way consistent with these requirements. It must take an individual’s rights into account when sharing personal information about them.</w:t>
      </w:r>
      <w:r w:rsidR="003450CB">
        <w:rPr>
          <w:rFonts w:cs="Arial"/>
        </w:rPr>
        <w:t xml:space="preserve"> </w:t>
      </w:r>
    </w:p>
    <w:p w14:paraId="7E8527BB" w14:textId="77777777" w:rsidR="003450CB" w:rsidRDefault="00AF71D2" w:rsidP="003450CB">
      <w:pPr>
        <w:numPr>
          <w:ilvl w:val="0"/>
          <w:numId w:val="13"/>
        </w:numPr>
        <w:tabs>
          <w:tab w:val="clear" w:pos="902"/>
          <w:tab w:val="left" w:pos="1162"/>
        </w:tabs>
        <w:spacing w:after="240"/>
        <w:ind w:left="1162" w:hanging="1162"/>
        <w:rPr>
          <w:rFonts w:cs="Arial"/>
          <w:b/>
        </w:rPr>
      </w:pPr>
      <w:r w:rsidRPr="003450CB">
        <w:rPr>
          <w:rFonts w:cs="Arial"/>
          <w:b/>
        </w:rPr>
        <w:t>Freedom of Information Act 2000</w:t>
      </w:r>
      <w:r w:rsidR="003450CB">
        <w:rPr>
          <w:rFonts w:cs="Arial"/>
          <w:b/>
        </w:rPr>
        <w:t xml:space="preserve"> </w:t>
      </w:r>
    </w:p>
    <w:p w14:paraId="24AD2872" w14:textId="78856D9F" w:rsidR="003450CB" w:rsidRPr="003450CB" w:rsidRDefault="00AF71D2" w:rsidP="4BE60562">
      <w:pPr>
        <w:numPr>
          <w:ilvl w:val="1"/>
          <w:numId w:val="13"/>
        </w:numPr>
        <w:tabs>
          <w:tab w:val="clear" w:pos="902"/>
          <w:tab w:val="left" w:pos="1162"/>
        </w:tabs>
        <w:spacing w:after="240"/>
        <w:ind w:left="1162" w:hanging="1162"/>
        <w:jc w:val="both"/>
        <w:rPr>
          <w:rFonts w:cs="Arial"/>
          <w:b/>
          <w:bCs/>
        </w:rPr>
      </w:pPr>
      <w:r w:rsidRPr="124486BD">
        <w:rPr>
          <w:rFonts w:cs="Arial"/>
        </w:rPr>
        <w:t>This Act came into force on 1 January 2005. It gives individuals right of access to</w:t>
      </w:r>
      <w:r w:rsidRPr="124486BD">
        <w:rPr>
          <w:rFonts w:cs="Arial"/>
          <w:b/>
          <w:bCs/>
        </w:rPr>
        <w:t xml:space="preserve"> corporate information</w:t>
      </w:r>
      <w:r w:rsidRPr="124486BD">
        <w:rPr>
          <w:rFonts w:cs="Arial"/>
        </w:rPr>
        <w:t xml:space="preserve"> held by the Trust such as policies, </w:t>
      </w:r>
      <w:r w:rsidR="004258A2" w:rsidRPr="124486BD">
        <w:rPr>
          <w:rFonts w:cs="Arial"/>
        </w:rPr>
        <w:t>reports,</w:t>
      </w:r>
      <w:r w:rsidRPr="124486BD">
        <w:rPr>
          <w:rFonts w:cs="Arial"/>
        </w:rPr>
        <w:t xml:space="preserve"> and minutes of meetings. </w:t>
      </w:r>
    </w:p>
    <w:p w14:paraId="3A63FB4D" w14:textId="1DA8108A" w:rsidR="003450CB" w:rsidRPr="003450CB" w:rsidRDefault="003450CB" w:rsidP="4BE60562">
      <w:pPr>
        <w:tabs>
          <w:tab w:val="left" w:pos="1162"/>
        </w:tabs>
        <w:spacing w:after="240"/>
        <w:jc w:val="both"/>
        <w:rPr>
          <w:rFonts w:cs="Arial"/>
        </w:rPr>
      </w:pPr>
    </w:p>
    <w:p w14:paraId="7E8527BC" w14:textId="32D21E23" w:rsidR="003450CB" w:rsidRPr="003450CB" w:rsidRDefault="00AF71D2" w:rsidP="7AC1B05A">
      <w:pPr>
        <w:tabs>
          <w:tab w:val="left" w:pos="1162"/>
        </w:tabs>
        <w:spacing w:after="240"/>
        <w:jc w:val="both"/>
        <w:rPr>
          <w:rFonts w:cs="Arial"/>
        </w:rPr>
      </w:pPr>
      <w:r w:rsidRPr="7AC1B05A">
        <w:rPr>
          <w:rFonts w:cs="Arial"/>
        </w:rPr>
        <w:t>The Trust has a Freedom of Information P</w:t>
      </w:r>
      <w:r w:rsidR="33918AFA" w:rsidRPr="7AC1B05A">
        <w:rPr>
          <w:rFonts w:cs="Arial"/>
        </w:rPr>
        <w:t xml:space="preserve">rocedure </w:t>
      </w:r>
      <w:r w:rsidRPr="7AC1B05A">
        <w:rPr>
          <w:rFonts w:cs="Arial"/>
        </w:rPr>
        <w:t>and a nominated officer to deal with requests and queries.</w:t>
      </w:r>
    </w:p>
    <w:p w14:paraId="7E8527BD" w14:textId="77777777" w:rsidR="003450CB" w:rsidRDefault="00AF71D2" w:rsidP="0018409B">
      <w:pPr>
        <w:keepNext/>
        <w:keepLines/>
        <w:numPr>
          <w:ilvl w:val="0"/>
          <w:numId w:val="13"/>
        </w:numPr>
        <w:tabs>
          <w:tab w:val="clear" w:pos="902"/>
          <w:tab w:val="left" w:pos="1162"/>
        </w:tabs>
        <w:spacing w:after="240"/>
        <w:ind w:left="1162" w:hanging="1162"/>
        <w:rPr>
          <w:rFonts w:cs="Arial"/>
          <w:b/>
        </w:rPr>
      </w:pPr>
      <w:r w:rsidRPr="003450CB">
        <w:rPr>
          <w:rFonts w:cs="Arial"/>
          <w:b/>
        </w:rPr>
        <w:t>Regulation of Investigatory Powers Act 2000</w:t>
      </w:r>
      <w:r w:rsidR="003450CB">
        <w:rPr>
          <w:rFonts w:cs="Arial"/>
          <w:b/>
        </w:rPr>
        <w:t xml:space="preserve"> </w:t>
      </w:r>
    </w:p>
    <w:p w14:paraId="7E8527BE" w14:textId="77777777" w:rsidR="003450CB" w:rsidRDefault="00AF71D2" w:rsidP="00A86741">
      <w:pPr>
        <w:keepNext/>
        <w:keepLines/>
        <w:numPr>
          <w:ilvl w:val="1"/>
          <w:numId w:val="13"/>
        </w:numPr>
        <w:tabs>
          <w:tab w:val="clear" w:pos="902"/>
          <w:tab w:val="left" w:pos="1162"/>
        </w:tabs>
        <w:spacing w:after="240"/>
        <w:ind w:left="1162" w:hanging="1162"/>
        <w:jc w:val="both"/>
        <w:rPr>
          <w:rFonts w:cs="Arial"/>
        </w:rPr>
      </w:pPr>
      <w:r w:rsidRPr="003450CB">
        <w:rPr>
          <w:rFonts w:cs="Arial"/>
        </w:rPr>
        <w:t>This Act combines rules relating to access to protected electronic information as well as revising the ‘Interception of Communications Act 1985’. The Act aims to modernise the legal regulation of interception of communications in the light of the Human Rights laws and rapidly changing technology.</w:t>
      </w:r>
      <w:r w:rsidR="003450CB">
        <w:rPr>
          <w:rFonts w:cs="Arial"/>
        </w:rPr>
        <w:t xml:space="preserve"> </w:t>
      </w:r>
    </w:p>
    <w:p w14:paraId="7E8527BF" w14:textId="77777777" w:rsidR="003450CB" w:rsidRPr="003450CB" w:rsidRDefault="00AF71D2" w:rsidP="003450CB">
      <w:pPr>
        <w:numPr>
          <w:ilvl w:val="0"/>
          <w:numId w:val="13"/>
        </w:numPr>
        <w:tabs>
          <w:tab w:val="clear" w:pos="902"/>
          <w:tab w:val="left" w:pos="1162"/>
        </w:tabs>
        <w:spacing w:after="240"/>
        <w:ind w:left="1162" w:hanging="1162"/>
        <w:rPr>
          <w:rFonts w:cs="Arial"/>
        </w:rPr>
      </w:pPr>
      <w:r w:rsidRPr="003450CB">
        <w:rPr>
          <w:rFonts w:cs="Arial"/>
          <w:b/>
        </w:rPr>
        <w:t>Crime and Disorder Act 1998</w:t>
      </w:r>
      <w:r w:rsidR="003450CB">
        <w:rPr>
          <w:rFonts w:cs="Arial"/>
          <w:b/>
        </w:rPr>
        <w:t xml:space="preserve"> </w:t>
      </w:r>
    </w:p>
    <w:p w14:paraId="7E8527C0" w14:textId="77777777" w:rsidR="00AF71D2" w:rsidRP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This Act introduces measures to reduce crime and disorder, including the introduction of local crime partnerships around local authority boundaries to formulate and implement strategies for reducing crime and disorder in that local area.</w:t>
      </w:r>
    </w:p>
    <w:p w14:paraId="7E8527C1" w14:textId="77777777" w:rsid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The Act allows disclosure of person identifiable information to the Police, Local Authorities, Probation Service or the Health Service but only if the purposes are defined within the Crime and Disorder Act. The Act does not impose a legal requirement to disclose/ exchange person identifiable information and responsibility for disclosure rests with the organisation holding the information. There must be a Crime and Disorder Protocol governing the disclosure/ exchange and use of personal information within a local authority boundary agreed and signed by all involved agencies and organisations.</w:t>
      </w:r>
      <w:r w:rsidR="003450CB">
        <w:rPr>
          <w:rFonts w:cs="Arial"/>
        </w:rPr>
        <w:t xml:space="preserve"> </w:t>
      </w:r>
    </w:p>
    <w:p w14:paraId="7E8527C2" w14:textId="77777777" w:rsidR="003450CB" w:rsidRPr="003450CB" w:rsidRDefault="00AF71D2" w:rsidP="003450CB">
      <w:pPr>
        <w:numPr>
          <w:ilvl w:val="0"/>
          <w:numId w:val="13"/>
        </w:numPr>
        <w:tabs>
          <w:tab w:val="clear" w:pos="902"/>
          <w:tab w:val="left" w:pos="1162"/>
        </w:tabs>
        <w:spacing w:after="240"/>
        <w:ind w:left="1162" w:hanging="1162"/>
        <w:rPr>
          <w:rFonts w:cs="Arial"/>
        </w:rPr>
      </w:pPr>
      <w:r w:rsidRPr="003450CB">
        <w:rPr>
          <w:rFonts w:cs="Arial"/>
          <w:b/>
        </w:rPr>
        <w:t>The Computer Misuse Act 1990</w:t>
      </w:r>
      <w:r w:rsidR="003450CB">
        <w:rPr>
          <w:rFonts w:cs="Arial"/>
          <w:b/>
        </w:rPr>
        <w:t xml:space="preserve"> </w:t>
      </w:r>
    </w:p>
    <w:p w14:paraId="7E8527C3" w14:textId="77777777" w:rsidR="00AF71D2" w:rsidRP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This Act makes it a criminal offence to access any part of a computer system, programs and/ or data that a user is not entitled to access. Each organisation will issue users an individual user id and password which will only be known by the individual they relate to and must not be divulged/ misused by other staff. This is to protect the employee from the likelihood of their inadvertently contravening this Act.</w:t>
      </w:r>
    </w:p>
    <w:p w14:paraId="7E8527C4" w14:textId="77777777" w:rsidR="00AF71D2" w:rsidRPr="003450CB" w:rsidRDefault="00AF71D2" w:rsidP="00A86741">
      <w:pPr>
        <w:numPr>
          <w:ilvl w:val="1"/>
          <w:numId w:val="13"/>
        </w:numPr>
        <w:tabs>
          <w:tab w:val="clear" w:pos="902"/>
          <w:tab w:val="left" w:pos="1162"/>
        </w:tabs>
        <w:spacing w:after="240"/>
        <w:ind w:left="1162" w:hanging="1162"/>
        <w:jc w:val="both"/>
        <w:rPr>
          <w:rFonts w:cs="Arial"/>
        </w:rPr>
      </w:pPr>
      <w:r w:rsidRPr="003450CB">
        <w:rPr>
          <w:rFonts w:cs="Arial"/>
        </w:rPr>
        <w:t>Each organisation will adhere to the requirements of the Computer Misuse Act 1990 by ensuring staff are made aware of their responsibilities regarding the misuse of computers for personal gain or other fraudulent activities. Any member of staff found to have contravened this Act will be considered to have committed a disciplinary offence and be dealt with accordingly.</w:t>
      </w:r>
    </w:p>
    <w:p w14:paraId="7E8527C5" w14:textId="77777777" w:rsidR="0018409B" w:rsidRDefault="0018409B" w:rsidP="0018409B">
      <w:pPr>
        <w:pageBreakBefore/>
        <w:spacing w:before="360" w:after="240"/>
        <w:outlineLvl w:val="0"/>
        <w:rPr>
          <w:rFonts w:cs="Arial"/>
          <w:b/>
          <w:bCs/>
          <w:sz w:val="28"/>
          <w:szCs w:val="28"/>
        </w:rPr>
      </w:pPr>
      <w:bookmarkStart w:id="35" w:name="_Toc98307938"/>
      <w:bookmarkStart w:id="36" w:name="_Toc221009252"/>
      <w:bookmarkStart w:id="37" w:name="_Toc132635601"/>
      <w:r w:rsidRPr="00142FA9">
        <w:rPr>
          <w:rFonts w:cs="Arial"/>
          <w:b/>
          <w:bCs/>
          <w:sz w:val="28"/>
          <w:szCs w:val="28"/>
        </w:rPr>
        <w:t>Appendix 3: Disclosure of Personal Patient Information</w:t>
      </w:r>
      <w:bookmarkEnd w:id="35"/>
      <w:bookmarkEnd w:id="36"/>
      <w:bookmarkEnd w:id="37"/>
    </w:p>
    <w:p w14:paraId="7E8527C6" w14:textId="3F2F376C" w:rsidR="0018409B" w:rsidRDefault="0018409B" w:rsidP="0018409B">
      <w:pPr>
        <w:numPr>
          <w:ilvl w:val="0"/>
          <w:numId w:val="16"/>
        </w:numPr>
        <w:tabs>
          <w:tab w:val="clear" w:pos="902"/>
          <w:tab w:val="left" w:pos="1162"/>
        </w:tabs>
        <w:spacing w:after="240"/>
        <w:ind w:left="1162" w:hanging="1162"/>
        <w:rPr>
          <w:rFonts w:ascii="Arial Bold" w:hAnsi="Arial Bold" w:cs="Arial"/>
          <w:b/>
          <w:bCs/>
          <w:szCs w:val="28"/>
          <w:lang w:eastAsia="en-GB"/>
        </w:rPr>
      </w:pPr>
      <w:r w:rsidRPr="00142FA9">
        <w:rPr>
          <w:rFonts w:ascii="Arial Bold" w:hAnsi="Arial Bold" w:cs="Arial"/>
          <w:b/>
          <w:bCs/>
          <w:szCs w:val="28"/>
          <w:lang w:eastAsia="en-GB"/>
        </w:rPr>
        <w:t>Acts of Parliament that govern the disclosure</w:t>
      </w:r>
      <w:r w:rsidR="00476554">
        <w:rPr>
          <w:rFonts w:ascii="Arial Bold" w:hAnsi="Arial Bold" w:cs="Arial"/>
          <w:b/>
          <w:bCs/>
          <w:szCs w:val="28"/>
          <w:lang w:eastAsia="en-GB"/>
        </w:rPr>
        <w:t xml:space="preserve"> </w:t>
      </w:r>
      <w:r w:rsidRPr="00142FA9">
        <w:rPr>
          <w:rFonts w:ascii="Arial Bold" w:hAnsi="Arial Bold" w:cs="Arial"/>
          <w:b/>
          <w:bCs/>
          <w:szCs w:val="28"/>
          <w:lang w:eastAsia="en-GB"/>
        </w:rPr>
        <w:t>/</w:t>
      </w:r>
      <w:r>
        <w:rPr>
          <w:rFonts w:ascii="Arial Bold" w:hAnsi="Arial Bold" w:cs="Arial"/>
          <w:b/>
          <w:bCs/>
          <w:szCs w:val="28"/>
          <w:lang w:eastAsia="en-GB"/>
        </w:rPr>
        <w:t xml:space="preserve"> </w:t>
      </w:r>
      <w:r w:rsidRPr="00142FA9">
        <w:rPr>
          <w:rFonts w:ascii="Arial Bold" w:hAnsi="Arial Bold" w:cs="Arial"/>
          <w:b/>
          <w:bCs/>
          <w:szCs w:val="28"/>
          <w:lang w:eastAsia="en-GB"/>
        </w:rPr>
        <w:t>sharing of personal patient information are detailed below:</w:t>
      </w:r>
    </w:p>
    <w:p w14:paraId="7E8527C7" w14:textId="77777777" w:rsidR="0018409B" w:rsidRPr="00AB0D1C" w:rsidRDefault="0018409B" w:rsidP="00AB0D1C">
      <w:pPr>
        <w:numPr>
          <w:ilvl w:val="3"/>
          <w:numId w:val="37"/>
        </w:numPr>
        <w:spacing w:after="240"/>
        <w:ind w:left="1134"/>
        <w:jc w:val="both"/>
        <w:rPr>
          <w:rFonts w:cs="Arial"/>
          <w:b/>
        </w:rPr>
      </w:pPr>
      <w:r w:rsidRPr="00AB0D1C">
        <w:rPr>
          <w:rFonts w:cs="Arial"/>
          <w:b/>
        </w:rPr>
        <w:t>Legislation to restrict disclosure of personal identifiable information</w:t>
      </w:r>
    </w:p>
    <w:p w14:paraId="7E8527C8" w14:textId="77777777" w:rsidR="0018409B" w:rsidRPr="00AB0D1C" w:rsidRDefault="0018409B" w:rsidP="00AB0D1C">
      <w:pPr>
        <w:numPr>
          <w:ilvl w:val="3"/>
          <w:numId w:val="37"/>
        </w:numPr>
        <w:spacing w:after="240"/>
        <w:ind w:left="1134"/>
        <w:jc w:val="both"/>
        <w:rPr>
          <w:rFonts w:cs="Arial"/>
          <w:bCs/>
        </w:rPr>
      </w:pPr>
      <w:r w:rsidRPr="00AB0D1C">
        <w:rPr>
          <w:rFonts w:cs="Arial"/>
          <w:bCs/>
        </w:rPr>
        <w:t>Human Fertilisation and Embryology (Disclosure of Information) Act 1992</w:t>
      </w:r>
    </w:p>
    <w:p w14:paraId="7E8527C9" w14:textId="77777777" w:rsidR="0018409B" w:rsidRPr="00AB0D1C" w:rsidRDefault="0018409B" w:rsidP="00AB0D1C">
      <w:pPr>
        <w:numPr>
          <w:ilvl w:val="3"/>
          <w:numId w:val="37"/>
        </w:numPr>
        <w:spacing w:after="240"/>
        <w:ind w:left="1134"/>
        <w:jc w:val="both"/>
        <w:rPr>
          <w:rFonts w:cs="Arial"/>
          <w:bCs/>
        </w:rPr>
      </w:pPr>
      <w:r w:rsidRPr="00AB0D1C">
        <w:rPr>
          <w:rFonts w:cs="Arial"/>
          <w:bCs/>
        </w:rPr>
        <w:t>Venereal Diseases Act 1917 and Venereal Diseases Regulations of 1974 and 1992</w:t>
      </w:r>
    </w:p>
    <w:p w14:paraId="7E8527CA" w14:textId="77777777" w:rsidR="0018409B" w:rsidRPr="00AB0D1C" w:rsidRDefault="0018409B" w:rsidP="00AB0D1C">
      <w:pPr>
        <w:numPr>
          <w:ilvl w:val="3"/>
          <w:numId w:val="37"/>
        </w:numPr>
        <w:spacing w:after="240"/>
        <w:ind w:left="1134"/>
        <w:jc w:val="both"/>
        <w:rPr>
          <w:rFonts w:cs="Arial"/>
          <w:bCs/>
        </w:rPr>
      </w:pPr>
      <w:r w:rsidRPr="00AB0D1C">
        <w:rPr>
          <w:rFonts w:cs="Arial"/>
          <w:bCs/>
        </w:rPr>
        <w:t>Abortion Act 1967</w:t>
      </w:r>
    </w:p>
    <w:p w14:paraId="7E8527CB" w14:textId="77777777" w:rsidR="0018409B" w:rsidRPr="00AB0D1C" w:rsidRDefault="0018409B" w:rsidP="00AB0D1C">
      <w:pPr>
        <w:numPr>
          <w:ilvl w:val="3"/>
          <w:numId w:val="37"/>
        </w:numPr>
        <w:spacing w:after="240"/>
        <w:ind w:left="1134"/>
        <w:jc w:val="both"/>
        <w:rPr>
          <w:rFonts w:cs="Arial"/>
          <w:bCs/>
        </w:rPr>
      </w:pPr>
      <w:r w:rsidRPr="00AB0D1C">
        <w:rPr>
          <w:rFonts w:cs="Arial"/>
          <w:bCs/>
        </w:rPr>
        <w:t>The Adoption Act 1976</w:t>
      </w:r>
    </w:p>
    <w:p w14:paraId="7E8527CC" w14:textId="77777777" w:rsidR="0018409B" w:rsidRPr="00AB0D1C" w:rsidRDefault="0018409B" w:rsidP="00AB0D1C">
      <w:pPr>
        <w:numPr>
          <w:ilvl w:val="3"/>
          <w:numId w:val="37"/>
        </w:numPr>
        <w:spacing w:after="240"/>
        <w:ind w:left="1134"/>
        <w:jc w:val="both"/>
        <w:rPr>
          <w:rFonts w:cs="Arial"/>
          <w:b/>
        </w:rPr>
      </w:pPr>
      <w:r w:rsidRPr="00AB0D1C">
        <w:rPr>
          <w:rFonts w:cs="Arial"/>
          <w:b/>
        </w:rPr>
        <w:t>Legislation requiring disclosure of personal identifiable information</w:t>
      </w:r>
    </w:p>
    <w:p w14:paraId="7E8527CD" w14:textId="77777777" w:rsidR="0018409B" w:rsidRPr="00AB0D1C" w:rsidRDefault="0018409B" w:rsidP="00AB0D1C">
      <w:pPr>
        <w:numPr>
          <w:ilvl w:val="3"/>
          <w:numId w:val="37"/>
        </w:numPr>
        <w:spacing w:after="240"/>
        <w:ind w:left="1134"/>
        <w:jc w:val="both"/>
        <w:rPr>
          <w:rFonts w:cs="Arial"/>
          <w:bCs/>
        </w:rPr>
      </w:pPr>
      <w:r w:rsidRPr="00AB0D1C">
        <w:rPr>
          <w:rFonts w:cs="Arial"/>
          <w:bCs/>
        </w:rPr>
        <w:t xml:space="preserve">Public Health (Control of Diseases) Act 1984 &amp; Public Health (Infectious Diseases) Regulations 1985 </w:t>
      </w:r>
    </w:p>
    <w:p w14:paraId="7E8527CE" w14:textId="77777777" w:rsidR="0018409B" w:rsidRPr="00AB0D1C" w:rsidRDefault="0018409B" w:rsidP="00AB0D1C">
      <w:pPr>
        <w:numPr>
          <w:ilvl w:val="3"/>
          <w:numId w:val="37"/>
        </w:numPr>
        <w:spacing w:after="240"/>
        <w:ind w:left="1134"/>
        <w:jc w:val="both"/>
        <w:rPr>
          <w:rFonts w:cs="Arial"/>
          <w:bCs/>
        </w:rPr>
      </w:pPr>
      <w:r w:rsidRPr="00AB0D1C">
        <w:rPr>
          <w:rFonts w:cs="Arial"/>
          <w:bCs/>
        </w:rPr>
        <w:t>Education Act 1944 (for immunisations and vaccinations to NHS Trusts from schools)</w:t>
      </w:r>
    </w:p>
    <w:p w14:paraId="7E8527CF" w14:textId="77777777" w:rsidR="0018409B" w:rsidRPr="00AB0D1C" w:rsidRDefault="0018409B" w:rsidP="00AB0D1C">
      <w:pPr>
        <w:numPr>
          <w:ilvl w:val="3"/>
          <w:numId w:val="37"/>
        </w:numPr>
        <w:spacing w:after="240"/>
        <w:ind w:left="1134"/>
        <w:jc w:val="both"/>
        <w:rPr>
          <w:rFonts w:cs="Arial"/>
          <w:bCs/>
        </w:rPr>
      </w:pPr>
      <w:r w:rsidRPr="00AB0D1C">
        <w:rPr>
          <w:rFonts w:cs="Arial"/>
          <w:bCs/>
        </w:rPr>
        <w:t>Births and Deaths Act 1984</w:t>
      </w:r>
    </w:p>
    <w:p w14:paraId="7E8527D0" w14:textId="77777777" w:rsidR="0018409B" w:rsidRPr="00AB0D1C" w:rsidRDefault="0018409B" w:rsidP="00AB0D1C">
      <w:pPr>
        <w:numPr>
          <w:ilvl w:val="3"/>
          <w:numId w:val="37"/>
        </w:numPr>
        <w:spacing w:after="240"/>
        <w:ind w:left="1134"/>
        <w:jc w:val="both"/>
        <w:rPr>
          <w:rFonts w:cs="Arial"/>
          <w:bCs/>
        </w:rPr>
      </w:pPr>
      <w:r w:rsidRPr="00AB0D1C">
        <w:rPr>
          <w:rFonts w:cs="Arial"/>
          <w:bCs/>
        </w:rPr>
        <w:t>Police and Criminal Evidence Act 1984</w:t>
      </w:r>
    </w:p>
    <w:p w14:paraId="7E8527D1" w14:textId="6B5F13E7" w:rsidR="0018409B" w:rsidRPr="00AB0D1C" w:rsidRDefault="0018409B" w:rsidP="7AC1B05A">
      <w:pPr>
        <w:numPr>
          <w:ilvl w:val="3"/>
          <w:numId w:val="37"/>
        </w:numPr>
        <w:spacing w:after="240"/>
        <w:ind w:left="1134"/>
        <w:jc w:val="both"/>
        <w:rPr>
          <w:rFonts w:cs="Arial"/>
        </w:rPr>
      </w:pPr>
      <w:r w:rsidRPr="7AC1B05A">
        <w:rPr>
          <w:rFonts w:cs="Arial"/>
        </w:rPr>
        <w:t xml:space="preserve">Sometimes a request may be received for patient information as part of a research project. Any such request would need to be assessed against requirements </w:t>
      </w:r>
      <w:r w:rsidR="7159980A" w:rsidRPr="7AC1B05A">
        <w:rPr>
          <w:rFonts w:cs="Arial"/>
        </w:rPr>
        <w:t>within data protection legislation</w:t>
      </w:r>
      <w:r w:rsidRPr="7AC1B05A">
        <w:rPr>
          <w:rFonts w:cs="Arial"/>
        </w:rPr>
        <w:t>. In most circumstances it will be necessary to have any research proposal approved by the Local Research Ethics Committee (LREC). It is also necessary to obtain the patient’s consent prior to using information for research purposes.</w:t>
      </w:r>
    </w:p>
    <w:sectPr w:rsidR="0018409B" w:rsidRPr="00AB0D1C" w:rsidSect="009F5525">
      <w:headerReference w:type="even" r:id="rId21"/>
      <w:headerReference w:type="default" r:id="rId22"/>
      <w:headerReference w:type="first" r:id="rId2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AF46" w14:textId="77777777" w:rsidR="00D247C2" w:rsidRDefault="00D247C2">
      <w:r>
        <w:separator/>
      </w:r>
    </w:p>
    <w:p w14:paraId="48A1F91B" w14:textId="77777777" w:rsidR="00D247C2" w:rsidRDefault="00D247C2"/>
    <w:p w14:paraId="08DE5123" w14:textId="77777777" w:rsidR="00D247C2" w:rsidRDefault="00D247C2" w:rsidP="00ED0BD0"/>
    <w:p w14:paraId="53DB5466" w14:textId="77777777" w:rsidR="00D247C2" w:rsidRDefault="00D247C2" w:rsidP="00ED0BD0"/>
    <w:p w14:paraId="2041BF19" w14:textId="77777777" w:rsidR="00D247C2" w:rsidRDefault="00D247C2" w:rsidP="00100CA2"/>
    <w:p w14:paraId="154CE718" w14:textId="77777777" w:rsidR="00D247C2" w:rsidRDefault="00D247C2" w:rsidP="00100CA2"/>
    <w:p w14:paraId="424A425C" w14:textId="77777777" w:rsidR="00D247C2" w:rsidRDefault="00D247C2" w:rsidP="00100CA2"/>
    <w:p w14:paraId="35E09791" w14:textId="77777777" w:rsidR="00D247C2" w:rsidRDefault="00D247C2" w:rsidP="00100CA2"/>
    <w:p w14:paraId="04236ED8" w14:textId="77777777" w:rsidR="00D247C2" w:rsidRDefault="00D247C2" w:rsidP="00AF2D35"/>
  </w:endnote>
  <w:endnote w:type="continuationSeparator" w:id="0">
    <w:p w14:paraId="25FDD680" w14:textId="77777777" w:rsidR="00D247C2" w:rsidRDefault="00D247C2">
      <w:r>
        <w:continuationSeparator/>
      </w:r>
    </w:p>
    <w:p w14:paraId="161AB75B" w14:textId="77777777" w:rsidR="00D247C2" w:rsidRDefault="00D247C2"/>
    <w:p w14:paraId="19F8E325" w14:textId="77777777" w:rsidR="00D247C2" w:rsidRDefault="00D247C2" w:rsidP="00ED0BD0"/>
    <w:p w14:paraId="7C2EC80C" w14:textId="77777777" w:rsidR="00D247C2" w:rsidRDefault="00D247C2" w:rsidP="00ED0BD0"/>
    <w:p w14:paraId="29BD6ABF" w14:textId="77777777" w:rsidR="00D247C2" w:rsidRDefault="00D247C2" w:rsidP="00100CA2"/>
    <w:p w14:paraId="62B4FAED" w14:textId="77777777" w:rsidR="00D247C2" w:rsidRDefault="00D247C2" w:rsidP="00100CA2"/>
    <w:p w14:paraId="540B3242" w14:textId="77777777" w:rsidR="00D247C2" w:rsidRDefault="00D247C2" w:rsidP="00100CA2"/>
    <w:p w14:paraId="4C93F7DA" w14:textId="77777777" w:rsidR="00D247C2" w:rsidRDefault="00D247C2" w:rsidP="00100CA2"/>
    <w:p w14:paraId="639832EC" w14:textId="77777777" w:rsidR="00D247C2" w:rsidRDefault="00D247C2" w:rsidP="00AF2D35"/>
  </w:endnote>
  <w:endnote w:type="continuationNotice" w:id="1">
    <w:p w14:paraId="013A1614" w14:textId="77777777" w:rsidR="00D247C2" w:rsidRDefault="00D2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6" w14:textId="77777777" w:rsidR="00343CB0" w:rsidRDefault="00343CB0"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E852857" w14:textId="77777777" w:rsidR="00343CB0" w:rsidRDefault="00343CB0"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8" w14:textId="762568B8" w:rsidR="00343CB0" w:rsidRPr="00312807" w:rsidRDefault="124486BD">
    <w:pPr>
      <w:pStyle w:val="Footer"/>
      <w:rPr>
        <w:rStyle w:val="PageNumber"/>
        <w:sz w:val="20"/>
        <w:szCs w:val="20"/>
      </w:rPr>
    </w:pPr>
    <w:r w:rsidRPr="124486BD">
      <w:rPr>
        <w:sz w:val="20"/>
        <w:szCs w:val="20"/>
        <w:lang w:val="en-GB"/>
      </w:rPr>
      <w:t>DataProtecV8.00</w:t>
    </w:r>
    <w:r w:rsidR="00343CB0">
      <w:tab/>
    </w:r>
    <w:r w:rsidR="00343CB0">
      <w:tab/>
    </w:r>
    <w:r w:rsidRPr="124486BD">
      <w:rPr>
        <w:sz w:val="20"/>
        <w:szCs w:val="20"/>
        <w:lang w:val="en-GB"/>
      </w:rPr>
      <w:t xml:space="preserve">Page </w:t>
    </w:r>
    <w:r w:rsidR="00343CB0" w:rsidRPr="124486BD">
      <w:rPr>
        <w:rStyle w:val="PageNumber"/>
        <w:noProof/>
        <w:sz w:val="20"/>
        <w:szCs w:val="20"/>
      </w:rPr>
      <w:fldChar w:fldCharType="begin"/>
    </w:r>
    <w:r w:rsidR="00343CB0" w:rsidRPr="124486BD">
      <w:rPr>
        <w:rStyle w:val="PageNumber"/>
        <w:sz w:val="20"/>
        <w:szCs w:val="20"/>
      </w:rPr>
      <w:instrText xml:space="preserve"> PAGE </w:instrText>
    </w:r>
    <w:r w:rsidR="00343CB0" w:rsidRPr="124486BD">
      <w:rPr>
        <w:rStyle w:val="PageNumber"/>
        <w:sz w:val="20"/>
        <w:szCs w:val="20"/>
      </w:rPr>
      <w:fldChar w:fldCharType="separate"/>
    </w:r>
    <w:r w:rsidRPr="124486BD">
      <w:rPr>
        <w:rStyle w:val="PageNumber"/>
        <w:noProof/>
        <w:sz w:val="20"/>
        <w:szCs w:val="20"/>
      </w:rPr>
      <w:t>24</w:t>
    </w:r>
    <w:r w:rsidR="00343CB0" w:rsidRPr="124486BD">
      <w:rPr>
        <w:rStyle w:val="PageNumber"/>
        <w:noProof/>
        <w:sz w:val="20"/>
        <w:szCs w:val="20"/>
      </w:rPr>
      <w:fldChar w:fldCharType="end"/>
    </w:r>
    <w:r w:rsidRPr="124486BD">
      <w:rPr>
        <w:rStyle w:val="PageNumber"/>
        <w:sz w:val="20"/>
        <w:szCs w:val="20"/>
      </w:rPr>
      <w:t xml:space="preserve"> of </w:t>
    </w:r>
    <w:r w:rsidR="00343CB0" w:rsidRPr="124486BD">
      <w:rPr>
        <w:rStyle w:val="PageNumber"/>
        <w:noProof/>
        <w:sz w:val="20"/>
        <w:szCs w:val="20"/>
      </w:rPr>
      <w:fldChar w:fldCharType="begin"/>
    </w:r>
    <w:r w:rsidR="00343CB0" w:rsidRPr="124486BD">
      <w:rPr>
        <w:rStyle w:val="PageNumber"/>
        <w:sz w:val="20"/>
        <w:szCs w:val="20"/>
      </w:rPr>
      <w:instrText xml:space="preserve"> NUMPAGES </w:instrText>
    </w:r>
    <w:r w:rsidR="00343CB0" w:rsidRPr="124486BD">
      <w:rPr>
        <w:rStyle w:val="PageNumber"/>
        <w:sz w:val="20"/>
        <w:szCs w:val="20"/>
      </w:rPr>
      <w:fldChar w:fldCharType="separate"/>
    </w:r>
    <w:r w:rsidRPr="124486BD">
      <w:rPr>
        <w:rStyle w:val="PageNumber"/>
        <w:noProof/>
        <w:sz w:val="20"/>
        <w:szCs w:val="20"/>
      </w:rPr>
      <w:t>28</w:t>
    </w:r>
    <w:r w:rsidR="00343CB0" w:rsidRPr="124486BD">
      <w:rPr>
        <w:rStyle w:val="PageNumber"/>
        <w:noProof/>
        <w:sz w:val="20"/>
        <w:szCs w:val="20"/>
      </w:rPr>
      <w:fldChar w:fldCharType="end"/>
    </w:r>
  </w:p>
  <w:p w14:paraId="7E85285A" w14:textId="3305FFF1" w:rsidR="00343CB0" w:rsidRPr="00312807" w:rsidRDefault="124486BD">
    <w:pPr>
      <w:pStyle w:val="Footer"/>
      <w:rPr>
        <w:sz w:val="20"/>
        <w:szCs w:val="20"/>
        <w:lang w:val="en-GB"/>
      </w:rPr>
    </w:pPr>
    <w:r w:rsidRPr="124486BD">
      <w:rPr>
        <w:rStyle w:val="PageNumber"/>
        <w:sz w:val="20"/>
        <w:szCs w:val="20"/>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C" w14:textId="77777777" w:rsidR="00343CB0" w:rsidRDefault="00343CB0" w:rsidP="00EC2C7F">
    <w:pPr>
      <w:pStyle w:val="Footer"/>
      <w:rPr>
        <w:rStyle w:val="PageNumber"/>
      </w:rPr>
    </w:pPr>
  </w:p>
  <w:p w14:paraId="7E85285D" w14:textId="77777777" w:rsidR="00343CB0" w:rsidRDefault="00343CB0" w:rsidP="00EC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5C7A" w14:textId="77777777" w:rsidR="00D247C2" w:rsidRDefault="00D247C2">
      <w:r>
        <w:separator/>
      </w:r>
    </w:p>
    <w:p w14:paraId="220C6686" w14:textId="77777777" w:rsidR="00D247C2" w:rsidRDefault="00D247C2"/>
    <w:p w14:paraId="50C5F0FB" w14:textId="77777777" w:rsidR="00D247C2" w:rsidRDefault="00D247C2" w:rsidP="00ED0BD0"/>
    <w:p w14:paraId="54BA9FE7" w14:textId="77777777" w:rsidR="00D247C2" w:rsidRDefault="00D247C2" w:rsidP="00ED0BD0"/>
    <w:p w14:paraId="16954F24" w14:textId="77777777" w:rsidR="00D247C2" w:rsidRDefault="00D247C2" w:rsidP="00100CA2"/>
    <w:p w14:paraId="7909D2F8" w14:textId="77777777" w:rsidR="00D247C2" w:rsidRDefault="00D247C2" w:rsidP="00100CA2"/>
    <w:p w14:paraId="08EF6B75" w14:textId="77777777" w:rsidR="00D247C2" w:rsidRDefault="00D247C2" w:rsidP="00100CA2"/>
    <w:p w14:paraId="63FA289D" w14:textId="77777777" w:rsidR="00D247C2" w:rsidRDefault="00D247C2" w:rsidP="00100CA2"/>
    <w:p w14:paraId="0EF50952" w14:textId="77777777" w:rsidR="00D247C2" w:rsidRDefault="00D247C2" w:rsidP="00AF2D35"/>
  </w:footnote>
  <w:footnote w:type="continuationSeparator" w:id="0">
    <w:p w14:paraId="0845DF69" w14:textId="77777777" w:rsidR="00D247C2" w:rsidRDefault="00D247C2">
      <w:r>
        <w:continuationSeparator/>
      </w:r>
    </w:p>
    <w:p w14:paraId="7B986FC5" w14:textId="77777777" w:rsidR="00D247C2" w:rsidRDefault="00D247C2"/>
    <w:p w14:paraId="2204D45A" w14:textId="77777777" w:rsidR="00D247C2" w:rsidRDefault="00D247C2" w:rsidP="00ED0BD0"/>
    <w:p w14:paraId="2E5336DF" w14:textId="77777777" w:rsidR="00D247C2" w:rsidRDefault="00D247C2" w:rsidP="00ED0BD0"/>
    <w:p w14:paraId="496CC900" w14:textId="77777777" w:rsidR="00D247C2" w:rsidRDefault="00D247C2" w:rsidP="00100CA2"/>
    <w:p w14:paraId="6D67E37B" w14:textId="77777777" w:rsidR="00D247C2" w:rsidRDefault="00D247C2" w:rsidP="00100CA2"/>
    <w:p w14:paraId="458EE7C2" w14:textId="77777777" w:rsidR="00D247C2" w:rsidRDefault="00D247C2" w:rsidP="00100CA2"/>
    <w:p w14:paraId="165DE3E8" w14:textId="77777777" w:rsidR="00D247C2" w:rsidRDefault="00D247C2" w:rsidP="00100CA2"/>
    <w:p w14:paraId="2AFCFA5F" w14:textId="77777777" w:rsidR="00D247C2" w:rsidRDefault="00D247C2" w:rsidP="00AF2D35"/>
  </w:footnote>
  <w:footnote w:type="continuationNotice" w:id="1">
    <w:p w14:paraId="04115A40" w14:textId="77777777" w:rsidR="00D247C2" w:rsidRDefault="00D2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EFE9" w14:textId="50334193" w:rsidR="00FC432A" w:rsidRDefault="00FC4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5" w14:textId="59679565" w:rsidR="00343CB0" w:rsidRPr="00ED0BD0" w:rsidRDefault="00343CB0" w:rsidP="00ED0BD0">
    <w:pPr>
      <w:pStyle w:val="Header"/>
      <w:jc w:val="center"/>
      <w:rPr>
        <w:sz w:val="20"/>
      </w:rPr>
    </w:pPr>
    <w:r>
      <w:rPr>
        <w:sz w:val="20"/>
      </w:rPr>
      <w:t xml:space="preserve">Data Protection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B" w14:textId="4351B750" w:rsidR="00343CB0" w:rsidRPr="00ED0BD0" w:rsidRDefault="00E23D58" w:rsidP="00ED0BD0">
    <w:pPr>
      <w:pStyle w:val="Header"/>
    </w:pPr>
    <w:r>
      <w:rPr>
        <w:noProof/>
      </w:rPr>
      <w:drawing>
        <wp:anchor distT="0" distB="0" distL="114300" distR="114300" simplePos="0" relativeHeight="251658240" behindDoc="1" locked="0" layoutInCell="1" allowOverlap="1" wp14:anchorId="30F247A3" wp14:editId="59F1C4A6">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85E" w14:textId="718A41C4" w:rsidR="00343CB0" w:rsidRDefault="00343C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2E87" w14:textId="6009F19D" w:rsidR="00C57BE5" w:rsidRDefault="00C57B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998F" w14:textId="75DB1A3B" w:rsidR="00C57BE5" w:rsidRDefault="00C57BE5">
    <w:pPr>
      <w:pStyle w:val="Header"/>
    </w:pPr>
  </w:p>
</w:hdr>
</file>

<file path=word/intelligence2.xml><?xml version="1.0" encoding="utf-8"?>
<int2:intelligence xmlns:int2="http://schemas.microsoft.com/office/intelligence/2020/intelligence" xmlns:oel="http://schemas.microsoft.com/office/2019/extlst">
  <int2:observations>
    <int2:textHash int2:hashCode="x5fRxlvZPhBYbv" int2:id="BSZrgSxe">
      <int2:state int2:value="Rejected" int2:type="spell"/>
    </int2:textHash>
    <int2:textHash int2:hashCode="+aenkMZbFgij05" int2:id="amYvCnma">
      <int2:state int2:value="Rejected" int2:type="spell"/>
    </int2:textHash>
    <int2:textHash int2:hashCode="pvAuvTm5PAU1ta" int2:id="mySQcaZF">
      <int2:state int2:value="Rejected" int2:type="spell"/>
    </int2:textHash>
    <int2:bookmark int2:bookmarkName="_Int_9rhY51pp" int2:invalidationBookmarkName="" int2:hashCode="W5Z4vmu9anL2GF" int2:id="BC2lJCbj">
      <int2:state int2:value="Rejected" int2:type="style"/>
    </int2:bookmark>
    <int2:bookmark int2:bookmarkName="_Int_PYyk3KD8" int2:invalidationBookmarkName="" int2:hashCode="UQSrHo2/nd9tjo" int2:id="BrCeGxKs">
      <int2:state int2:value="Rejected" int2:type="style"/>
    </int2:bookmark>
    <int2:bookmark int2:bookmarkName="_Int_nru9Y7GF" int2:invalidationBookmarkName="" int2:hashCode="ZdGjZKcdQXLN1H" int2:id="FSMpI7wA">
      <int2:state int2:value="Rejected" int2:type="style"/>
    </int2:bookmark>
    <int2:bookmark int2:bookmarkName="_Int_QYze6kEm" int2:invalidationBookmarkName="" int2:hashCode="d5mwzpJ73WXMLv" int2:id="HoZ0aQDA">
      <int2:state int2:value="Rejected" int2:type="gram"/>
    </int2:bookmark>
    <int2:bookmark int2:bookmarkName="_Int_orreZuGS" int2:invalidationBookmarkName="" int2:hashCode="YIDh82oSmByXzi" int2:id="yhEYcgN4">
      <int2:state int2:value="Rejected" int2:type="style"/>
    </int2:bookmark>
    <int2:bookmark int2:bookmarkName="_Int_6h1XOudc" int2:invalidationBookmarkName="" int2:hashCode="d5mwzpJ73WXMLv" int2:id="Q37hYSS2">
      <int2:state int2:value="Rejected" int2:type="gram"/>
    </int2:bookmark>
    <int2:bookmark int2:bookmarkName="_Int_KJHSm3bn" int2:invalidationBookmarkName="" int2:hashCode="O8BbilJxOKu0h/" int2:id="dUrzhaqJ">
      <int2:state int2:value="Rejected" int2:type="style"/>
    </int2:bookmark>
    <int2:bookmark int2:bookmarkName="_Int_KS8wpRkx" int2:invalidationBookmarkName="" int2:hashCode="TqeMouUwFEew/H" int2:id="djyIxJa4">
      <int2:state int2:value="Rejected" int2:type="gram"/>
    </int2:bookmark>
    <int2:bookmark int2:bookmarkName="_Int_F8pn5B86" int2:invalidationBookmarkName="" int2:hashCode="hPnRm2HuZsf69b" int2:id="fSSTCGj8">
      <int2:state int2:value="Rejected" int2:type="style"/>
    </int2:bookmark>
    <int2:bookmark int2:bookmarkName="_Int_oQ5mccsD" int2:invalidationBookmarkName="" int2:hashCode="d5mwzpJ73WXMLv" int2:id="k37nXU1x">
      <int2:state int2:value="Rejected" int2:type="gram"/>
    </int2:bookmark>
    <int2:bookmark int2:bookmarkName="_Int_Ukl96gKr" int2:invalidationBookmarkName="" int2:hashCode="d5mwzpJ73WXMLv" int2:id="pFRFA0MZ">
      <int2:state int2:value="Rejected" int2:type="gram"/>
    </int2:bookmark>
    <int2:bookmark int2:bookmarkName="_Int_DecVT3pe" int2:invalidationBookmarkName="" int2:hashCode="eJnBDbwDW5JwHV" int2:id="tucJD8uj">
      <int2:state int2:value="Rejected" int2:type="gram"/>
    </int2:bookmark>
    <int2:bookmark int2:bookmarkName="_Int_d9IsGAkx" int2:invalidationBookmarkName="" int2:hashCode="mvcqs8GtnNGZci" int2:id="vTFZKhH5">
      <int2:state int2:value="Rejected" int2:type="gram"/>
    </int2:bookmark>
    <int2:bookmark int2:bookmarkName="_Int_Z0dnFY0V" int2:invalidationBookmarkName="" int2:hashCode="d5mwzpJ73WXMLv" int2:id="wbi69vS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9474B8"/>
    <w:multiLevelType w:val="multilevel"/>
    <w:tmpl w:val="F1088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25F60"/>
    <w:multiLevelType w:val="multilevel"/>
    <w:tmpl w:val="8BCC9E5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E132C3A"/>
    <w:multiLevelType w:val="hybridMultilevel"/>
    <w:tmpl w:val="B11867D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35A23C4"/>
    <w:multiLevelType w:val="hybridMultilevel"/>
    <w:tmpl w:val="9656D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F172E"/>
    <w:multiLevelType w:val="hybridMultilevel"/>
    <w:tmpl w:val="FABA40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E20628F"/>
    <w:multiLevelType w:val="multilevel"/>
    <w:tmpl w:val="C3A6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22FA3"/>
    <w:multiLevelType w:val="multilevel"/>
    <w:tmpl w:val="7532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BE1158B"/>
    <w:multiLevelType w:val="hybridMultilevel"/>
    <w:tmpl w:val="5D38AE40"/>
    <w:lvl w:ilvl="0" w:tplc="08090003">
      <w:start w:val="1"/>
      <w:numFmt w:val="bullet"/>
      <w:lvlText w:val="o"/>
      <w:lvlJc w:val="left"/>
      <w:pPr>
        <w:ind w:left="2061" w:hanging="360"/>
      </w:pPr>
      <w:rPr>
        <w:rFonts w:ascii="Courier New" w:hAnsi="Courier New" w:cs="Courier New"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2F883287"/>
    <w:multiLevelType w:val="multilevel"/>
    <w:tmpl w:val="8BCC9E5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0E86635"/>
    <w:multiLevelType w:val="multilevel"/>
    <w:tmpl w:val="6082D12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5BF0CC2"/>
    <w:multiLevelType w:val="multilevel"/>
    <w:tmpl w:val="4BCA08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D42069"/>
    <w:multiLevelType w:val="hybridMultilevel"/>
    <w:tmpl w:val="3984CD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3BC2479C"/>
    <w:multiLevelType w:val="hybridMultilevel"/>
    <w:tmpl w:val="E98AFF4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D4411FF"/>
    <w:multiLevelType w:val="multilevel"/>
    <w:tmpl w:val="41B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D1F83"/>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0385D54"/>
    <w:multiLevelType w:val="hybridMultilevel"/>
    <w:tmpl w:val="62C47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B77B0"/>
    <w:multiLevelType w:val="multilevel"/>
    <w:tmpl w:val="8BCC9E5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3415848"/>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4A322176"/>
    <w:multiLevelType w:val="hybridMultilevel"/>
    <w:tmpl w:val="B59CD44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4E60789D"/>
    <w:multiLevelType w:val="multilevel"/>
    <w:tmpl w:val="4E00E2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1690098"/>
    <w:multiLevelType w:val="multilevel"/>
    <w:tmpl w:val="6082D12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1E335FA"/>
    <w:multiLevelType w:val="multilevel"/>
    <w:tmpl w:val="0B02BB0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61E0FA2"/>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A496671"/>
    <w:multiLevelType w:val="multilevel"/>
    <w:tmpl w:val="863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491263"/>
    <w:multiLevelType w:val="multilevel"/>
    <w:tmpl w:val="6082D12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3D53773"/>
    <w:multiLevelType w:val="multilevel"/>
    <w:tmpl w:val="72D0028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5105597"/>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693E3BFA"/>
    <w:multiLevelType w:val="multilevel"/>
    <w:tmpl w:val="8BCC9E54"/>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DBB789E"/>
    <w:multiLevelType w:val="multilevel"/>
    <w:tmpl w:val="3760D68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4"/>
        <w:szCs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E3C3530"/>
    <w:multiLevelType w:val="hybridMultilevel"/>
    <w:tmpl w:val="5898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50507"/>
    <w:multiLevelType w:val="multilevel"/>
    <w:tmpl w:val="3760D68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4"/>
        <w:szCs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F0A68B0"/>
    <w:multiLevelType w:val="multilevel"/>
    <w:tmpl w:val="DC7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176070">
    <w:abstractNumId w:val="0"/>
  </w:num>
  <w:num w:numId="2" w16cid:durableId="2128742296">
    <w:abstractNumId w:val="28"/>
  </w:num>
  <w:num w:numId="3" w16cid:durableId="2022582879">
    <w:abstractNumId w:val="9"/>
  </w:num>
  <w:num w:numId="4" w16cid:durableId="1001196216">
    <w:abstractNumId w:val="22"/>
  </w:num>
  <w:num w:numId="5" w16cid:durableId="980426256">
    <w:abstractNumId w:val="34"/>
  </w:num>
  <w:num w:numId="6" w16cid:durableId="1352954371">
    <w:abstractNumId w:val="29"/>
  </w:num>
  <w:num w:numId="7" w16cid:durableId="1217014003">
    <w:abstractNumId w:val="13"/>
  </w:num>
  <w:num w:numId="8" w16cid:durableId="1050108907">
    <w:abstractNumId w:val="1"/>
  </w:num>
  <w:num w:numId="9" w16cid:durableId="410548910">
    <w:abstractNumId w:val="25"/>
  </w:num>
  <w:num w:numId="10" w16cid:durableId="443623058">
    <w:abstractNumId w:val="39"/>
  </w:num>
  <w:num w:numId="11" w16cid:durableId="106894503">
    <w:abstractNumId w:val="28"/>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Override>
    <w:lvlOverride w:ilvl="1">
      <w:lvl w:ilvl="1">
        <w:start w:val="1"/>
        <w:numFmt w:val="decimal"/>
        <w:lvlText w:val="%1.%2."/>
        <w:lvlJc w:val="left"/>
        <w:pPr>
          <w:tabs>
            <w:tab w:val="num" w:pos="902"/>
          </w:tabs>
          <w:ind w:left="902" w:hanging="902"/>
        </w:pPr>
        <w:rPr>
          <w:rFonts w:ascii="Arial" w:hAnsi="Arial" w:hint="default"/>
          <w:b w:val="0"/>
          <w:i w:val="0"/>
          <w:sz w:val="24"/>
        </w:rPr>
      </w:lvl>
    </w:lvlOverride>
    <w:lvlOverride w:ilvl="2">
      <w:lvl w:ilvl="2">
        <w:start w:val="1"/>
        <w:numFmt w:val="decimal"/>
        <w:lvlText w:val="%1.%2.%3."/>
        <w:lvlJc w:val="left"/>
        <w:pPr>
          <w:tabs>
            <w:tab w:val="num" w:pos="902"/>
          </w:tabs>
          <w:ind w:left="902" w:hanging="902"/>
        </w:pPr>
        <w:rPr>
          <w:rFonts w:ascii="Arial" w:hAnsi="Arial" w:hint="default"/>
          <w:b w:val="0"/>
          <w:i w:val="0"/>
          <w:sz w:val="24"/>
        </w:rPr>
      </w:lvl>
    </w:lvlOverride>
    <w:lvlOverride w:ilvl="3">
      <w:lvl w:ilvl="3">
        <w:start w:val="1"/>
        <w:numFmt w:val="bullet"/>
        <w:lvlText w:val=""/>
        <w:lvlJc w:val="left"/>
        <w:pPr>
          <w:ind w:left="360" w:hanging="360"/>
        </w:pPr>
        <w:rPr>
          <w:rFonts w:ascii="Symbol" w:hAnsi="Symbol" w:hint="default"/>
        </w:rPr>
      </w:lvl>
    </w:lvlOverride>
    <w:lvlOverride w:ilvl="4">
      <w:lvl w:ilvl="4">
        <w:start w:val="1"/>
        <w:numFmt w:val="decimal"/>
        <w:lvlText w:val="%1.%2.%3.%4.%5."/>
        <w:lvlJc w:val="left"/>
        <w:pPr>
          <w:tabs>
            <w:tab w:val="num" w:pos="720"/>
          </w:tabs>
          <w:ind w:left="720" w:hanging="720"/>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689216956">
    <w:abstractNumId w:val="21"/>
  </w:num>
  <w:num w:numId="13" w16cid:durableId="940332531">
    <w:abstractNumId w:val="33"/>
  </w:num>
  <w:num w:numId="14" w16cid:durableId="1488208285">
    <w:abstractNumId w:val="18"/>
  </w:num>
  <w:num w:numId="15" w16cid:durableId="445929108">
    <w:abstractNumId w:val="38"/>
  </w:num>
  <w:num w:numId="16" w16cid:durableId="1733774425">
    <w:abstractNumId w:val="36"/>
  </w:num>
  <w:num w:numId="17" w16cid:durableId="754279008">
    <w:abstractNumId w:val="27"/>
  </w:num>
  <w:num w:numId="18" w16cid:durableId="937518921">
    <w:abstractNumId w:val="17"/>
  </w:num>
  <w:num w:numId="19" w16cid:durableId="1575163389">
    <w:abstractNumId w:val="40"/>
  </w:num>
  <w:num w:numId="20" w16cid:durableId="894001925">
    <w:abstractNumId w:val="7"/>
  </w:num>
  <w:num w:numId="21" w16cid:durableId="1721591968">
    <w:abstractNumId w:val="30"/>
  </w:num>
  <w:num w:numId="22" w16cid:durableId="1229878537">
    <w:abstractNumId w:val="8"/>
  </w:num>
  <w:num w:numId="23" w16cid:durableId="1856574600">
    <w:abstractNumId w:val="2"/>
  </w:num>
  <w:num w:numId="24" w16cid:durableId="1715152305">
    <w:abstractNumId w:val="26"/>
  </w:num>
  <w:num w:numId="25" w16cid:durableId="645550444">
    <w:abstractNumId w:val="31"/>
  </w:num>
  <w:num w:numId="26" w16cid:durableId="1540820603">
    <w:abstractNumId w:val="12"/>
  </w:num>
  <w:num w:numId="27" w16cid:durableId="1053194756">
    <w:abstractNumId w:val="3"/>
  </w:num>
  <w:num w:numId="28" w16cid:durableId="75631881">
    <w:abstractNumId w:val="20"/>
  </w:num>
  <w:num w:numId="29" w16cid:durableId="350382182">
    <w:abstractNumId w:val="35"/>
  </w:num>
  <w:num w:numId="30" w16cid:durableId="1080827679">
    <w:abstractNumId w:val="11"/>
  </w:num>
  <w:num w:numId="31" w16cid:durableId="1751350208">
    <w:abstractNumId w:val="19"/>
  </w:num>
  <w:num w:numId="32" w16cid:durableId="235894090">
    <w:abstractNumId w:val="37"/>
  </w:num>
  <w:num w:numId="33" w16cid:durableId="723262623">
    <w:abstractNumId w:val="15"/>
  </w:num>
  <w:num w:numId="34" w16cid:durableId="426535217">
    <w:abstractNumId w:val="16"/>
  </w:num>
  <w:num w:numId="35" w16cid:durableId="1014304778">
    <w:abstractNumId w:val="4"/>
  </w:num>
  <w:num w:numId="36" w16cid:durableId="1819688924">
    <w:abstractNumId w:val="6"/>
  </w:num>
  <w:num w:numId="37" w16cid:durableId="2130007640">
    <w:abstractNumId w:val="32"/>
  </w:num>
  <w:num w:numId="38" w16cid:durableId="273564683">
    <w:abstractNumId w:val="5"/>
  </w:num>
  <w:num w:numId="39" w16cid:durableId="1412312712">
    <w:abstractNumId w:val="23"/>
  </w:num>
  <w:num w:numId="40" w16cid:durableId="84107931">
    <w:abstractNumId w:val="10"/>
  </w:num>
  <w:num w:numId="41" w16cid:durableId="417213254">
    <w:abstractNumId w:val="14"/>
  </w:num>
  <w:num w:numId="42" w16cid:durableId="1796630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71"/>
    <w:rsid w:val="0000029D"/>
    <w:rsid w:val="00000605"/>
    <w:rsid w:val="00000BC7"/>
    <w:rsid w:val="000022FE"/>
    <w:rsid w:val="0000486F"/>
    <w:rsid w:val="00005D56"/>
    <w:rsid w:val="000106FF"/>
    <w:rsid w:val="00010E7D"/>
    <w:rsid w:val="00011A20"/>
    <w:rsid w:val="00012411"/>
    <w:rsid w:val="00014548"/>
    <w:rsid w:val="00015B22"/>
    <w:rsid w:val="000163CE"/>
    <w:rsid w:val="00021F7E"/>
    <w:rsid w:val="0002328C"/>
    <w:rsid w:val="000276B7"/>
    <w:rsid w:val="00030295"/>
    <w:rsid w:val="00030E39"/>
    <w:rsid w:val="00031018"/>
    <w:rsid w:val="000323C0"/>
    <w:rsid w:val="00033197"/>
    <w:rsid w:val="00033693"/>
    <w:rsid w:val="00033CA2"/>
    <w:rsid w:val="00043725"/>
    <w:rsid w:val="00052A65"/>
    <w:rsid w:val="00053D43"/>
    <w:rsid w:val="00053E2F"/>
    <w:rsid w:val="000557D2"/>
    <w:rsid w:val="000569AC"/>
    <w:rsid w:val="00057C3E"/>
    <w:rsid w:val="00057E23"/>
    <w:rsid w:val="00061473"/>
    <w:rsid w:val="000622B5"/>
    <w:rsid w:val="00063CE7"/>
    <w:rsid w:val="00063DC7"/>
    <w:rsid w:val="00064BA7"/>
    <w:rsid w:val="00064E96"/>
    <w:rsid w:val="00064F65"/>
    <w:rsid w:val="0006558B"/>
    <w:rsid w:val="00065C65"/>
    <w:rsid w:val="0006747C"/>
    <w:rsid w:val="00067914"/>
    <w:rsid w:val="00070722"/>
    <w:rsid w:val="00070765"/>
    <w:rsid w:val="00071749"/>
    <w:rsid w:val="00072502"/>
    <w:rsid w:val="00074863"/>
    <w:rsid w:val="0007515B"/>
    <w:rsid w:val="00075330"/>
    <w:rsid w:val="00075438"/>
    <w:rsid w:val="0007608D"/>
    <w:rsid w:val="000779F8"/>
    <w:rsid w:val="000820E8"/>
    <w:rsid w:val="000824F1"/>
    <w:rsid w:val="0008365F"/>
    <w:rsid w:val="00086496"/>
    <w:rsid w:val="00086B99"/>
    <w:rsid w:val="0008717D"/>
    <w:rsid w:val="0008774E"/>
    <w:rsid w:val="00090193"/>
    <w:rsid w:val="00090C00"/>
    <w:rsid w:val="000928C7"/>
    <w:rsid w:val="00092AB3"/>
    <w:rsid w:val="00094294"/>
    <w:rsid w:val="000944E6"/>
    <w:rsid w:val="000974E8"/>
    <w:rsid w:val="000A078A"/>
    <w:rsid w:val="000A177D"/>
    <w:rsid w:val="000A3074"/>
    <w:rsid w:val="000A54FF"/>
    <w:rsid w:val="000A6F34"/>
    <w:rsid w:val="000B1149"/>
    <w:rsid w:val="000B2950"/>
    <w:rsid w:val="000B36AC"/>
    <w:rsid w:val="000B3E4F"/>
    <w:rsid w:val="000B47E8"/>
    <w:rsid w:val="000B50FF"/>
    <w:rsid w:val="000B5390"/>
    <w:rsid w:val="000B568B"/>
    <w:rsid w:val="000B570B"/>
    <w:rsid w:val="000B6DEE"/>
    <w:rsid w:val="000C0575"/>
    <w:rsid w:val="000C336D"/>
    <w:rsid w:val="000C46FB"/>
    <w:rsid w:val="000C5A46"/>
    <w:rsid w:val="000C5A65"/>
    <w:rsid w:val="000C612D"/>
    <w:rsid w:val="000C6202"/>
    <w:rsid w:val="000C6B94"/>
    <w:rsid w:val="000D0A4A"/>
    <w:rsid w:val="000D0E3F"/>
    <w:rsid w:val="000D10FF"/>
    <w:rsid w:val="000D24D6"/>
    <w:rsid w:val="000D52BB"/>
    <w:rsid w:val="000D5CE0"/>
    <w:rsid w:val="000D5E3D"/>
    <w:rsid w:val="000D6ECB"/>
    <w:rsid w:val="000E0240"/>
    <w:rsid w:val="000E26BA"/>
    <w:rsid w:val="000E2C05"/>
    <w:rsid w:val="000E4791"/>
    <w:rsid w:val="000E4FB8"/>
    <w:rsid w:val="000E53AA"/>
    <w:rsid w:val="000E59C2"/>
    <w:rsid w:val="000E6C13"/>
    <w:rsid w:val="000E6FF8"/>
    <w:rsid w:val="000F167B"/>
    <w:rsid w:val="000F318D"/>
    <w:rsid w:val="000F4067"/>
    <w:rsid w:val="000F585D"/>
    <w:rsid w:val="000F71A9"/>
    <w:rsid w:val="00100CA2"/>
    <w:rsid w:val="00104F86"/>
    <w:rsid w:val="00105F86"/>
    <w:rsid w:val="0010709A"/>
    <w:rsid w:val="00110BCC"/>
    <w:rsid w:val="001144E7"/>
    <w:rsid w:val="0011529A"/>
    <w:rsid w:val="001162B8"/>
    <w:rsid w:val="00117926"/>
    <w:rsid w:val="001236BD"/>
    <w:rsid w:val="00123ABC"/>
    <w:rsid w:val="00123B10"/>
    <w:rsid w:val="00123CEC"/>
    <w:rsid w:val="00125B74"/>
    <w:rsid w:val="001268D6"/>
    <w:rsid w:val="00126FCA"/>
    <w:rsid w:val="001272E1"/>
    <w:rsid w:val="00131080"/>
    <w:rsid w:val="001318E5"/>
    <w:rsid w:val="00131EB7"/>
    <w:rsid w:val="00133498"/>
    <w:rsid w:val="00134611"/>
    <w:rsid w:val="00135298"/>
    <w:rsid w:val="00136AA6"/>
    <w:rsid w:val="00140779"/>
    <w:rsid w:val="001412DA"/>
    <w:rsid w:val="001415B1"/>
    <w:rsid w:val="00141A7A"/>
    <w:rsid w:val="001420E2"/>
    <w:rsid w:val="00142711"/>
    <w:rsid w:val="00142ADF"/>
    <w:rsid w:val="00144673"/>
    <w:rsid w:val="00144AE7"/>
    <w:rsid w:val="0014723C"/>
    <w:rsid w:val="00151F2A"/>
    <w:rsid w:val="001543A6"/>
    <w:rsid w:val="00155033"/>
    <w:rsid w:val="00157194"/>
    <w:rsid w:val="001571E3"/>
    <w:rsid w:val="00157206"/>
    <w:rsid w:val="00157292"/>
    <w:rsid w:val="00161ABE"/>
    <w:rsid w:val="00162249"/>
    <w:rsid w:val="00162AD6"/>
    <w:rsid w:val="00164855"/>
    <w:rsid w:val="001667B5"/>
    <w:rsid w:val="00166CA2"/>
    <w:rsid w:val="00167089"/>
    <w:rsid w:val="00167D42"/>
    <w:rsid w:val="00171AFC"/>
    <w:rsid w:val="001744DC"/>
    <w:rsid w:val="00174D89"/>
    <w:rsid w:val="00177901"/>
    <w:rsid w:val="00180046"/>
    <w:rsid w:val="001812DD"/>
    <w:rsid w:val="00182AB3"/>
    <w:rsid w:val="0018409B"/>
    <w:rsid w:val="00184112"/>
    <w:rsid w:val="00184924"/>
    <w:rsid w:val="0018705F"/>
    <w:rsid w:val="00192F3E"/>
    <w:rsid w:val="00194245"/>
    <w:rsid w:val="00194B60"/>
    <w:rsid w:val="00194DCD"/>
    <w:rsid w:val="0019500C"/>
    <w:rsid w:val="00197554"/>
    <w:rsid w:val="00197925"/>
    <w:rsid w:val="00197A78"/>
    <w:rsid w:val="001A10B5"/>
    <w:rsid w:val="001A1A18"/>
    <w:rsid w:val="001A2C93"/>
    <w:rsid w:val="001A7689"/>
    <w:rsid w:val="001B1478"/>
    <w:rsid w:val="001B1941"/>
    <w:rsid w:val="001B1DE2"/>
    <w:rsid w:val="001B20F5"/>
    <w:rsid w:val="001B2115"/>
    <w:rsid w:val="001B3559"/>
    <w:rsid w:val="001B5758"/>
    <w:rsid w:val="001B69EB"/>
    <w:rsid w:val="001B7CBD"/>
    <w:rsid w:val="001C0E9D"/>
    <w:rsid w:val="001C1FEE"/>
    <w:rsid w:val="001C2A8C"/>
    <w:rsid w:val="001C2E11"/>
    <w:rsid w:val="001C39B0"/>
    <w:rsid w:val="001C560C"/>
    <w:rsid w:val="001C6F31"/>
    <w:rsid w:val="001C7F56"/>
    <w:rsid w:val="001D0E06"/>
    <w:rsid w:val="001D1919"/>
    <w:rsid w:val="001D2529"/>
    <w:rsid w:val="001D3876"/>
    <w:rsid w:val="001D5D67"/>
    <w:rsid w:val="001D7B8F"/>
    <w:rsid w:val="001E008C"/>
    <w:rsid w:val="001E0378"/>
    <w:rsid w:val="001E2FC0"/>
    <w:rsid w:val="001E4D60"/>
    <w:rsid w:val="001E557D"/>
    <w:rsid w:val="001E56B4"/>
    <w:rsid w:val="001E5AF9"/>
    <w:rsid w:val="001E6AD6"/>
    <w:rsid w:val="001F1CE1"/>
    <w:rsid w:val="001F2022"/>
    <w:rsid w:val="001F25FF"/>
    <w:rsid w:val="001F37CB"/>
    <w:rsid w:val="001F3868"/>
    <w:rsid w:val="001F3A4F"/>
    <w:rsid w:val="001F3D8A"/>
    <w:rsid w:val="001F48CC"/>
    <w:rsid w:val="001F4940"/>
    <w:rsid w:val="001F576A"/>
    <w:rsid w:val="001F67D1"/>
    <w:rsid w:val="001F6EDF"/>
    <w:rsid w:val="001F76EF"/>
    <w:rsid w:val="002005A0"/>
    <w:rsid w:val="00201257"/>
    <w:rsid w:val="00201D01"/>
    <w:rsid w:val="002027FA"/>
    <w:rsid w:val="00204003"/>
    <w:rsid w:val="00204005"/>
    <w:rsid w:val="00204A47"/>
    <w:rsid w:val="00204F39"/>
    <w:rsid w:val="00205BFA"/>
    <w:rsid w:val="00205E8F"/>
    <w:rsid w:val="002069A3"/>
    <w:rsid w:val="00206D93"/>
    <w:rsid w:val="00206EC0"/>
    <w:rsid w:val="002111D3"/>
    <w:rsid w:val="00211553"/>
    <w:rsid w:val="00216062"/>
    <w:rsid w:val="002168CD"/>
    <w:rsid w:val="00217C0C"/>
    <w:rsid w:val="002209BF"/>
    <w:rsid w:val="002238B4"/>
    <w:rsid w:val="00223EBC"/>
    <w:rsid w:val="00223F51"/>
    <w:rsid w:val="00224556"/>
    <w:rsid w:val="002249EA"/>
    <w:rsid w:val="00225B5C"/>
    <w:rsid w:val="00225E0B"/>
    <w:rsid w:val="002302AB"/>
    <w:rsid w:val="00235614"/>
    <w:rsid w:val="0023613D"/>
    <w:rsid w:val="00236606"/>
    <w:rsid w:val="00237119"/>
    <w:rsid w:val="00237998"/>
    <w:rsid w:val="00242E00"/>
    <w:rsid w:val="00243620"/>
    <w:rsid w:val="00243FAA"/>
    <w:rsid w:val="00246597"/>
    <w:rsid w:val="002468F6"/>
    <w:rsid w:val="00247372"/>
    <w:rsid w:val="00252092"/>
    <w:rsid w:val="00252ED9"/>
    <w:rsid w:val="0025361B"/>
    <w:rsid w:val="00253A36"/>
    <w:rsid w:val="002541B1"/>
    <w:rsid w:val="002559C7"/>
    <w:rsid w:val="002563E2"/>
    <w:rsid w:val="00256A7B"/>
    <w:rsid w:val="0026386B"/>
    <w:rsid w:val="00264500"/>
    <w:rsid w:val="0026455F"/>
    <w:rsid w:val="00265ADE"/>
    <w:rsid w:val="002669D1"/>
    <w:rsid w:val="002729E1"/>
    <w:rsid w:val="0027311C"/>
    <w:rsid w:val="002733F8"/>
    <w:rsid w:val="00273680"/>
    <w:rsid w:val="0027433F"/>
    <w:rsid w:val="0027478B"/>
    <w:rsid w:val="002748EF"/>
    <w:rsid w:val="002752C4"/>
    <w:rsid w:val="002752E7"/>
    <w:rsid w:val="00276526"/>
    <w:rsid w:val="00277201"/>
    <w:rsid w:val="002776A5"/>
    <w:rsid w:val="002800C6"/>
    <w:rsid w:val="0028073A"/>
    <w:rsid w:val="0028242A"/>
    <w:rsid w:val="00283498"/>
    <w:rsid w:val="00285363"/>
    <w:rsid w:val="002860E4"/>
    <w:rsid w:val="0028755C"/>
    <w:rsid w:val="00287DA8"/>
    <w:rsid w:val="002911BC"/>
    <w:rsid w:val="0029140C"/>
    <w:rsid w:val="00291F5D"/>
    <w:rsid w:val="002925A9"/>
    <w:rsid w:val="00293873"/>
    <w:rsid w:val="00294E75"/>
    <w:rsid w:val="00295672"/>
    <w:rsid w:val="002A3E43"/>
    <w:rsid w:val="002A5169"/>
    <w:rsid w:val="002A7B71"/>
    <w:rsid w:val="002B059C"/>
    <w:rsid w:val="002B0B72"/>
    <w:rsid w:val="002B16D3"/>
    <w:rsid w:val="002B17CF"/>
    <w:rsid w:val="002B4AA5"/>
    <w:rsid w:val="002B5FAB"/>
    <w:rsid w:val="002B6F00"/>
    <w:rsid w:val="002B7C6C"/>
    <w:rsid w:val="002C1ECB"/>
    <w:rsid w:val="002C233E"/>
    <w:rsid w:val="002C464A"/>
    <w:rsid w:val="002C5BA4"/>
    <w:rsid w:val="002C5F43"/>
    <w:rsid w:val="002D24C9"/>
    <w:rsid w:val="002D3FBA"/>
    <w:rsid w:val="002D5BD4"/>
    <w:rsid w:val="002D6CAA"/>
    <w:rsid w:val="002D76C5"/>
    <w:rsid w:val="002E0158"/>
    <w:rsid w:val="002E0324"/>
    <w:rsid w:val="002E174D"/>
    <w:rsid w:val="002E3982"/>
    <w:rsid w:val="002E5EFA"/>
    <w:rsid w:val="002F0D47"/>
    <w:rsid w:val="002F1BDC"/>
    <w:rsid w:val="002F2962"/>
    <w:rsid w:val="002F30E7"/>
    <w:rsid w:val="002F4437"/>
    <w:rsid w:val="003006ED"/>
    <w:rsid w:val="00302E70"/>
    <w:rsid w:val="0030543B"/>
    <w:rsid w:val="00305926"/>
    <w:rsid w:val="00306C33"/>
    <w:rsid w:val="00306CAA"/>
    <w:rsid w:val="003117D4"/>
    <w:rsid w:val="00312735"/>
    <w:rsid w:val="00312807"/>
    <w:rsid w:val="00312B0C"/>
    <w:rsid w:val="00315058"/>
    <w:rsid w:val="0031548D"/>
    <w:rsid w:val="00315DF3"/>
    <w:rsid w:val="003169BD"/>
    <w:rsid w:val="003172FD"/>
    <w:rsid w:val="003179EF"/>
    <w:rsid w:val="003203C9"/>
    <w:rsid w:val="003224F0"/>
    <w:rsid w:val="00322CC1"/>
    <w:rsid w:val="00323E4B"/>
    <w:rsid w:val="003257B8"/>
    <w:rsid w:val="003274BF"/>
    <w:rsid w:val="003301D3"/>
    <w:rsid w:val="00332632"/>
    <w:rsid w:val="003355F0"/>
    <w:rsid w:val="0033655F"/>
    <w:rsid w:val="00336A1A"/>
    <w:rsid w:val="00336A91"/>
    <w:rsid w:val="0033796A"/>
    <w:rsid w:val="00337996"/>
    <w:rsid w:val="00337C03"/>
    <w:rsid w:val="003407EB"/>
    <w:rsid w:val="00340BE4"/>
    <w:rsid w:val="003419FB"/>
    <w:rsid w:val="0034279D"/>
    <w:rsid w:val="0034387D"/>
    <w:rsid w:val="00343CB0"/>
    <w:rsid w:val="0034457B"/>
    <w:rsid w:val="00344CCC"/>
    <w:rsid w:val="003450CB"/>
    <w:rsid w:val="00350DCE"/>
    <w:rsid w:val="00350FB7"/>
    <w:rsid w:val="00354547"/>
    <w:rsid w:val="00354E78"/>
    <w:rsid w:val="00355C29"/>
    <w:rsid w:val="003561FC"/>
    <w:rsid w:val="003569F6"/>
    <w:rsid w:val="003603E8"/>
    <w:rsid w:val="00361B97"/>
    <w:rsid w:val="00362445"/>
    <w:rsid w:val="00362B8F"/>
    <w:rsid w:val="00363497"/>
    <w:rsid w:val="0036400A"/>
    <w:rsid w:val="00364125"/>
    <w:rsid w:val="00367A82"/>
    <w:rsid w:val="00367B64"/>
    <w:rsid w:val="00370587"/>
    <w:rsid w:val="00370B93"/>
    <w:rsid w:val="00370DED"/>
    <w:rsid w:val="00371A6A"/>
    <w:rsid w:val="00371B37"/>
    <w:rsid w:val="00374BBF"/>
    <w:rsid w:val="003764DB"/>
    <w:rsid w:val="00376726"/>
    <w:rsid w:val="00376DD3"/>
    <w:rsid w:val="00377167"/>
    <w:rsid w:val="00384EF0"/>
    <w:rsid w:val="00385371"/>
    <w:rsid w:val="003856B6"/>
    <w:rsid w:val="00393623"/>
    <w:rsid w:val="00396463"/>
    <w:rsid w:val="00397D86"/>
    <w:rsid w:val="00397DE1"/>
    <w:rsid w:val="00397F9E"/>
    <w:rsid w:val="003A011A"/>
    <w:rsid w:val="003A3FF9"/>
    <w:rsid w:val="003A4240"/>
    <w:rsid w:val="003A48D0"/>
    <w:rsid w:val="003A51B0"/>
    <w:rsid w:val="003A597C"/>
    <w:rsid w:val="003A62A6"/>
    <w:rsid w:val="003A701F"/>
    <w:rsid w:val="003B032D"/>
    <w:rsid w:val="003B0C9A"/>
    <w:rsid w:val="003B0EDC"/>
    <w:rsid w:val="003B1A47"/>
    <w:rsid w:val="003B1FDC"/>
    <w:rsid w:val="003B20EE"/>
    <w:rsid w:val="003B252D"/>
    <w:rsid w:val="003B4272"/>
    <w:rsid w:val="003B4534"/>
    <w:rsid w:val="003B4BBC"/>
    <w:rsid w:val="003C0552"/>
    <w:rsid w:val="003C2C3C"/>
    <w:rsid w:val="003C2FD4"/>
    <w:rsid w:val="003C4D69"/>
    <w:rsid w:val="003C6284"/>
    <w:rsid w:val="003C66E9"/>
    <w:rsid w:val="003D3812"/>
    <w:rsid w:val="003D59CF"/>
    <w:rsid w:val="003D5F5E"/>
    <w:rsid w:val="003D6174"/>
    <w:rsid w:val="003D68DC"/>
    <w:rsid w:val="003E24F2"/>
    <w:rsid w:val="003E41F9"/>
    <w:rsid w:val="003E4321"/>
    <w:rsid w:val="003E4631"/>
    <w:rsid w:val="003E5943"/>
    <w:rsid w:val="003E6864"/>
    <w:rsid w:val="003F055A"/>
    <w:rsid w:val="003F124B"/>
    <w:rsid w:val="003F1B6A"/>
    <w:rsid w:val="003F1C71"/>
    <w:rsid w:val="003F29A7"/>
    <w:rsid w:val="003F393B"/>
    <w:rsid w:val="003F3E73"/>
    <w:rsid w:val="003F505F"/>
    <w:rsid w:val="00400E2A"/>
    <w:rsid w:val="0040166A"/>
    <w:rsid w:val="004024C7"/>
    <w:rsid w:val="00403616"/>
    <w:rsid w:val="00403B2A"/>
    <w:rsid w:val="00406427"/>
    <w:rsid w:val="0040674E"/>
    <w:rsid w:val="00407C03"/>
    <w:rsid w:val="0041074A"/>
    <w:rsid w:val="004125E0"/>
    <w:rsid w:val="004129CA"/>
    <w:rsid w:val="00415513"/>
    <w:rsid w:val="00416DD4"/>
    <w:rsid w:val="00416FBF"/>
    <w:rsid w:val="004173B3"/>
    <w:rsid w:val="004202BC"/>
    <w:rsid w:val="0042079D"/>
    <w:rsid w:val="0042112D"/>
    <w:rsid w:val="0042491F"/>
    <w:rsid w:val="004258A2"/>
    <w:rsid w:val="004269E9"/>
    <w:rsid w:val="00426EC9"/>
    <w:rsid w:val="004313FA"/>
    <w:rsid w:val="0043224A"/>
    <w:rsid w:val="004354DB"/>
    <w:rsid w:val="004428FF"/>
    <w:rsid w:val="0044323F"/>
    <w:rsid w:val="00447883"/>
    <w:rsid w:val="004507DC"/>
    <w:rsid w:val="00451776"/>
    <w:rsid w:val="004517F8"/>
    <w:rsid w:val="00452088"/>
    <w:rsid w:val="00452877"/>
    <w:rsid w:val="0045465C"/>
    <w:rsid w:val="00456DF3"/>
    <w:rsid w:val="00464F39"/>
    <w:rsid w:val="00466596"/>
    <w:rsid w:val="00466B36"/>
    <w:rsid w:val="00467DEE"/>
    <w:rsid w:val="004716F0"/>
    <w:rsid w:val="0047217A"/>
    <w:rsid w:val="00473983"/>
    <w:rsid w:val="00475E26"/>
    <w:rsid w:val="00476554"/>
    <w:rsid w:val="00476E60"/>
    <w:rsid w:val="00477223"/>
    <w:rsid w:val="00477E77"/>
    <w:rsid w:val="00480792"/>
    <w:rsid w:val="00482FCD"/>
    <w:rsid w:val="00484927"/>
    <w:rsid w:val="004849A8"/>
    <w:rsid w:val="00486BC7"/>
    <w:rsid w:val="00487492"/>
    <w:rsid w:val="004920B9"/>
    <w:rsid w:val="00492B71"/>
    <w:rsid w:val="00492F03"/>
    <w:rsid w:val="00492F1E"/>
    <w:rsid w:val="00496113"/>
    <w:rsid w:val="0049631A"/>
    <w:rsid w:val="00496383"/>
    <w:rsid w:val="00497B20"/>
    <w:rsid w:val="004A1CF7"/>
    <w:rsid w:val="004A2EB3"/>
    <w:rsid w:val="004A5EDB"/>
    <w:rsid w:val="004A78E0"/>
    <w:rsid w:val="004A7EC8"/>
    <w:rsid w:val="004B0EC6"/>
    <w:rsid w:val="004B332C"/>
    <w:rsid w:val="004B43BD"/>
    <w:rsid w:val="004B51FF"/>
    <w:rsid w:val="004B6680"/>
    <w:rsid w:val="004B678B"/>
    <w:rsid w:val="004B702D"/>
    <w:rsid w:val="004C0979"/>
    <w:rsid w:val="004C27F9"/>
    <w:rsid w:val="004C2BFD"/>
    <w:rsid w:val="004C3370"/>
    <w:rsid w:val="004C556D"/>
    <w:rsid w:val="004C6EF2"/>
    <w:rsid w:val="004D033D"/>
    <w:rsid w:val="004D1A51"/>
    <w:rsid w:val="004D4867"/>
    <w:rsid w:val="004E15A9"/>
    <w:rsid w:val="004E15CC"/>
    <w:rsid w:val="004E4996"/>
    <w:rsid w:val="004E5698"/>
    <w:rsid w:val="004F47AE"/>
    <w:rsid w:val="004F4DE0"/>
    <w:rsid w:val="004F5037"/>
    <w:rsid w:val="004F7135"/>
    <w:rsid w:val="004F7F43"/>
    <w:rsid w:val="0050469B"/>
    <w:rsid w:val="00504B85"/>
    <w:rsid w:val="00505818"/>
    <w:rsid w:val="0050716E"/>
    <w:rsid w:val="005078FC"/>
    <w:rsid w:val="005141C2"/>
    <w:rsid w:val="00514845"/>
    <w:rsid w:val="005165D6"/>
    <w:rsid w:val="00520097"/>
    <w:rsid w:val="00522667"/>
    <w:rsid w:val="00524DA9"/>
    <w:rsid w:val="00530ACB"/>
    <w:rsid w:val="00532161"/>
    <w:rsid w:val="00534578"/>
    <w:rsid w:val="00536467"/>
    <w:rsid w:val="00541703"/>
    <w:rsid w:val="00544BA2"/>
    <w:rsid w:val="005452AD"/>
    <w:rsid w:val="0054598D"/>
    <w:rsid w:val="00547E9E"/>
    <w:rsid w:val="00551178"/>
    <w:rsid w:val="0055218D"/>
    <w:rsid w:val="00552B2B"/>
    <w:rsid w:val="00553826"/>
    <w:rsid w:val="0055586C"/>
    <w:rsid w:val="00557233"/>
    <w:rsid w:val="0055773D"/>
    <w:rsid w:val="00560135"/>
    <w:rsid w:val="00560B66"/>
    <w:rsid w:val="00562727"/>
    <w:rsid w:val="005645DA"/>
    <w:rsid w:val="00564F53"/>
    <w:rsid w:val="00565EB2"/>
    <w:rsid w:val="00566CA7"/>
    <w:rsid w:val="00567BBB"/>
    <w:rsid w:val="0057179A"/>
    <w:rsid w:val="00571B10"/>
    <w:rsid w:val="005729EA"/>
    <w:rsid w:val="00572FF9"/>
    <w:rsid w:val="0057397A"/>
    <w:rsid w:val="00574B24"/>
    <w:rsid w:val="005754E1"/>
    <w:rsid w:val="005759B9"/>
    <w:rsid w:val="00575B1C"/>
    <w:rsid w:val="005817E1"/>
    <w:rsid w:val="00582C65"/>
    <w:rsid w:val="005842C5"/>
    <w:rsid w:val="00586816"/>
    <w:rsid w:val="00593554"/>
    <w:rsid w:val="00593954"/>
    <w:rsid w:val="00595919"/>
    <w:rsid w:val="00596173"/>
    <w:rsid w:val="005963A2"/>
    <w:rsid w:val="00596B36"/>
    <w:rsid w:val="005A054A"/>
    <w:rsid w:val="005A1D13"/>
    <w:rsid w:val="005A4618"/>
    <w:rsid w:val="005A4AA4"/>
    <w:rsid w:val="005A62A6"/>
    <w:rsid w:val="005A7CDC"/>
    <w:rsid w:val="005A7F37"/>
    <w:rsid w:val="005B1175"/>
    <w:rsid w:val="005B1BCD"/>
    <w:rsid w:val="005B1CD3"/>
    <w:rsid w:val="005B2532"/>
    <w:rsid w:val="005B2A4A"/>
    <w:rsid w:val="005B7919"/>
    <w:rsid w:val="005B7FCA"/>
    <w:rsid w:val="005C07B1"/>
    <w:rsid w:val="005C244B"/>
    <w:rsid w:val="005C344B"/>
    <w:rsid w:val="005C3A96"/>
    <w:rsid w:val="005C49B2"/>
    <w:rsid w:val="005C4FEC"/>
    <w:rsid w:val="005C5217"/>
    <w:rsid w:val="005C57BF"/>
    <w:rsid w:val="005C6E9C"/>
    <w:rsid w:val="005D267B"/>
    <w:rsid w:val="005D3698"/>
    <w:rsid w:val="005D6036"/>
    <w:rsid w:val="005E1095"/>
    <w:rsid w:val="005E1D39"/>
    <w:rsid w:val="005E310A"/>
    <w:rsid w:val="005E36CD"/>
    <w:rsid w:val="005E4BA5"/>
    <w:rsid w:val="005E58EE"/>
    <w:rsid w:val="005E6579"/>
    <w:rsid w:val="005F01F3"/>
    <w:rsid w:val="005F02AA"/>
    <w:rsid w:val="005F03A4"/>
    <w:rsid w:val="005F063D"/>
    <w:rsid w:val="005F17E0"/>
    <w:rsid w:val="005F4770"/>
    <w:rsid w:val="005F63F3"/>
    <w:rsid w:val="005F6604"/>
    <w:rsid w:val="00600C29"/>
    <w:rsid w:val="006010A8"/>
    <w:rsid w:val="00601CE7"/>
    <w:rsid w:val="00602CDD"/>
    <w:rsid w:val="00604547"/>
    <w:rsid w:val="00604C90"/>
    <w:rsid w:val="00606870"/>
    <w:rsid w:val="006100B3"/>
    <w:rsid w:val="00610E3C"/>
    <w:rsid w:val="0061256A"/>
    <w:rsid w:val="0061351A"/>
    <w:rsid w:val="0061487B"/>
    <w:rsid w:val="00615455"/>
    <w:rsid w:val="0061729A"/>
    <w:rsid w:val="006213E5"/>
    <w:rsid w:val="006220C8"/>
    <w:rsid w:val="00623270"/>
    <w:rsid w:val="00633280"/>
    <w:rsid w:val="00634500"/>
    <w:rsid w:val="00635944"/>
    <w:rsid w:val="00636AC0"/>
    <w:rsid w:val="006403E1"/>
    <w:rsid w:val="006411E9"/>
    <w:rsid w:val="00642417"/>
    <w:rsid w:val="006457A7"/>
    <w:rsid w:val="00645D71"/>
    <w:rsid w:val="006460FF"/>
    <w:rsid w:val="0065039A"/>
    <w:rsid w:val="00651EB9"/>
    <w:rsid w:val="00652AA7"/>
    <w:rsid w:val="00654EE7"/>
    <w:rsid w:val="00655C25"/>
    <w:rsid w:val="00656F6A"/>
    <w:rsid w:val="006606BE"/>
    <w:rsid w:val="0066284A"/>
    <w:rsid w:val="00663F5D"/>
    <w:rsid w:val="00664104"/>
    <w:rsid w:val="006654CA"/>
    <w:rsid w:val="00665A8E"/>
    <w:rsid w:val="00666527"/>
    <w:rsid w:val="00670DB2"/>
    <w:rsid w:val="006714CD"/>
    <w:rsid w:val="00673AD0"/>
    <w:rsid w:val="00674D59"/>
    <w:rsid w:val="0067574A"/>
    <w:rsid w:val="00680CD0"/>
    <w:rsid w:val="00682825"/>
    <w:rsid w:val="00682F71"/>
    <w:rsid w:val="00683F42"/>
    <w:rsid w:val="00684417"/>
    <w:rsid w:val="0068504E"/>
    <w:rsid w:val="00686FE2"/>
    <w:rsid w:val="00690711"/>
    <w:rsid w:val="0069117A"/>
    <w:rsid w:val="006950C9"/>
    <w:rsid w:val="006955F2"/>
    <w:rsid w:val="00695AFB"/>
    <w:rsid w:val="006968BC"/>
    <w:rsid w:val="006A083C"/>
    <w:rsid w:val="006A2F07"/>
    <w:rsid w:val="006A30DF"/>
    <w:rsid w:val="006A5988"/>
    <w:rsid w:val="006A744D"/>
    <w:rsid w:val="006B2901"/>
    <w:rsid w:val="006B3020"/>
    <w:rsid w:val="006B3651"/>
    <w:rsid w:val="006B3F9C"/>
    <w:rsid w:val="006B45B1"/>
    <w:rsid w:val="006B498B"/>
    <w:rsid w:val="006B4C67"/>
    <w:rsid w:val="006B5E9E"/>
    <w:rsid w:val="006B7725"/>
    <w:rsid w:val="006B7DB4"/>
    <w:rsid w:val="006C1CCF"/>
    <w:rsid w:val="006C25E8"/>
    <w:rsid w:val="006C419D"/>
    <w:rsid w:val="006C49B5"/>
    <w:rsid w:val="006C4F6E"/>
    <w:rsid w:val="006C656A"/>
    <w:rsid w:val="006C6985"/>
    <w:rsid w:val="006C7B74"/>
    <w:rsid w:val="006D149D"/>
    <w:rsid w:val="006D1A33"/>
    <w:rsid w:val="006D203B"/>
    <w:rsid w:val="006D3BDD"/>
    <w:rsid w:val="006D5E2D"/>
    <w:rsid w:val="006D5E6A"/>
    <w:rsid w:val="006D7DA6"/>
    <w:rsid w:val="006E24D4"/>
    <w:rsid w:val="006E35EE"/>
    <w:rsid w:val="006E389B"/>
    <w:rsid w:val="006E6096"/>
    <w:rsid w:val="006E658C"/>
    <w:rsid w:val="006F1689"/>
    <w:rsid w:val="006F1EF6"/>
    <w:rsid w:val="006F20C7"/>
    <w:rsid w:val="006F2FC0"/>
    <w:rsid w:val="006F36D3"/>
    <w:rsid w:val="006F415A"/>
    <w:rsid w:val="006F5C38"/>
    <w:rsid w:val="00700E00"/>
    <w:rsid w:val="00701414"/>
    <w:rsid w:val="007015E1"/>
    <w:rsid w:val="00701A99"/>
    <w:rsid w:val="00702B25"/>
    <w:rsid w:val="00702FAF"/>
    <w:rsid w:val="00705F8D"/>
    <w:rsid w:val="00706E4E"/>
    <w:rsid w:val="0071263C"/>
    <w:rsid w:val="0071324E"/>
    <w:rsid w:val="00714A3D"/>
    <w:rsid w:val="00714CAE"/>
    <w:rsid w:val="00715940"/>
    <w:rsid w:val="00717CBE"/>
    <w:rsid w:val="00724E50"/>
    <w:rsid w:val="00725C6C"/>
    <w:rsid w:val="0072632C"/>
    <w:rsid w:val="00727059"/>
    <w:rsid w:val="00727C2A"/>
    <w:rsid w:val="0073048D"/>
    <w:rsid w:val="00730851"/>
    <w:rsid w:val="00730DBC"/>
    <w:rsid w:val="0073104C"/>
    <w:rsid w:val="00732B76"/>
    <w:rsid w:val="0073762D"/>
    <w:rsid w:val="00740F3E"/>
    <w:rsid w:val="007419EE"/>
    <w:rsid w:val="00741BD4"/>
    <w:rsid w:val="00742E13"/>
    <w:rsid w:val="00743A23"/>
    <w:rsid w:val="007453ED"/>
    <w:rsid w:val="00746130"/>
    <w:rsid w:val="007475BE"/>
    <w:rsid w:val="007509DD"/>
    <w:rsid w:val="00751121"/>
    <w:rsid w:val="00751F45"/>
    <w:rsid w:val="0075291C"/>
    <w:rsid w:val="0075377E"/>
    <w:rsid w:val="00753D98"/>
    <w:rsid w:val="00753E40"/>
    <w:rsid w:val="00755230"/>
    <w:rsid w:val="00755E66"/>
    <w:rsid w:val="00757143"/>
    <w:rsid w:val="00757E47"/>
    <w:rsid w:val="00762BAA"/>
    <w:rsid w:val="00762D7E"/>
    <w:rsid w:val="00763CAE"/>
    <w:rsid w:val="007646ED"/>
    <w:rsid w:val="0076526F"/>
    <w:rsid w:val="00765282"/>
    <w:rsid w:val="00773EA9"/>
    <w:rsid w:val="0077437B"/>
    <w:rsid w:val="00774910"/>
    <w:rsid w:val="00774CEC"/>
    <w:rsid w:val="00777BDB"/>
    <w:rsid w:val="00780EC7"/>
    <w:rsid w:val="00782EDC"/>
    <w:rsid w:val="0078496C"/>
    <w:rsid w:val="00785700"/>
    <w:rsid w:val="007877CC"/>
    <w:rsid w:val="00790764"/>
    <w:rsid w:val="00791F8C"/>
    <w:rsid w:val="0079202B"/>
    <w:rsid w:val="007921BF"/>
    <w:rsid w:val="0079288C"/>
    <w:rsid w:val="007952CE"/>
    <w:rsid w:val="00797460"/>
    <w:rsid w:val="0079774B"/>
    <w:rsid w:val="007A577D"/>
    <w:rsid w:val="007A7767"/>
    <w:rsid w:val="007A7AAB"/>
    <w:rsid w:val="007B146E"/>
    <w:rsid w:val="007B393E"/>
    <w:rsid w:val="007B3AD2"/>
    <w:rsid w:val="007B3C24"/>
    <w:rsid w:val="007B415B"/>
    <w:rsid w:val="007B5A56"/>
    <w:rsid w:val="007B5A7C"/>
    <w:rsid w:val="007B5F26"/>
    <w:rsid w:val="007B7B4F"/>
    <w:rsid w:val="007C092F"/>
    <w:rsid w:val="007C3B8A"/>
    <w:rsid w:val="007C3CF4"/>
    <w:rsid w:val="007C462C"/>
    <w:rsid w:val="007D030C"/>
    <w:rsid w:val="007D08B3"/>
    <w:rsid w:val="007D14AA"/>
    <w:rsid w:val="007D29EA"/>
    <w:rsid w:val="007D4CFF"/>
    <w:rsid w:val="007D53A3"/>
    <w:rsid w:val="007D67D9"/>
    <w:rsid w:val="007D7964"/>
    <w:rsid w:val="007E0190"/>
    <w:rsid w:val="007E0798"/>
    <w:rsid w:val="007E0BCB"/>
    <w:rsid w:val="007E1461"/>
    <w:rsid w:val="007E3B1D"/>
    <w:rsid w:val="007E4866"/>
    <w:rsid w:val="007E4D7D"/>
    <w:rsid w:val="007E5808"/>
    <w:rsid w:val="007E5E46"/>
    <w:rsid w:val="007E69DE"/>
    <w:rsid w:val="007E7C8A"/>
    <w:rsid w:val="007E7D95"/>
    <w:rsid w:val="007F02BB"/>
    <w:rsid w:val="007F0CE9"/>
    <w:rsid w:val="007F1330"/>
    <w:rsid w:val="007F30C2"/>
    <w:rsid w:val="007F3D96"/>
    <w:rsid w:val="007F5358"/>
    <w:rsid w:val="007F6F9D"/>
    <w:rsid w:val="007F7826"/>
    <w:rsid w:val="007F7BD2"/>
    <w:rsid w:val="00800338"/>
    <w:rsid w:val="00802B27"/>
    <w:rsid w:val="00804B8E"/>
    <w:rsid w:val="008063F7"/>
    <w:rsid w:val="00806A61"/>
    <w:rsid w:val="00807B6C"/>
    <w:rsid w:val="00810E12"/>
    <w:rsid w:val="00811175"/>
    <w:rsid w:val="008113E2"/>
    <w:rsid w:val="008131FB"/>
    <w:rsid w:val="008134E4"/>
    <w:rsid w:val="008141F2"/>
    <w:rsid w:val="00814DED"/>
    <w:rsid w:val="008157AD"/>
    <w:rsid w:val="00817FB7"/>
    <w:rsid w:val="00822856"/>
    <w:rsid w:val="00823D4E"/>
    <w:rsid w:val="00824037"/>
    <w:rsid w:val="008240F8"/>
    <w:rsid w:val="0082420C"/>
    <w:rsid w:val="0082469E"/>
    <w:rsid w:val="008251E2"/>
    <w:rsid w:val="00825CE0"/>
    <w:rsid w:val="0082683C"/>
    <w:rsid w:val="008274D6"/>
    <w:rsid w:val="00831142"/>
    <w:rsid w:val="00831BD8"/>
    <w:rsid w:val="00834106"/>
    <w:rsid w:val="008341D6"/>
    <w:rsid w:val="00834711"/>
    <w:rsid w:val="008348EB"/>
    <w:rsid w:val="00834D73"/>
    <w:rsid w:val="0083508D"/>
    <w:rsid w:val="00835D38"/>
    <w:rsid w:val="00841F84"/>
    <w:rsid w:val="008420F4"/>
    <w:rsid w:val="008422C0"/>
    <w:rsid w:val="008427E2"/>
    <w:rsid w:val="00842E04"/>
    <w:rsid w:val="008463C9"/>
    <w:rsid w:val="00846555"/>
    <w:rsid w:val="00846727"/>
    <w:rsid w:val="00847EC4"/>
    <w:rsid w:val="008502D4"/>
    <w:rsid w:val="0085054D"/>
    <w:rsid w:val="00850923"/>
    <w:rsid w:val="00850FD2"/>
    <w:rsid w:val="0085178E"/>
    <w:rsid w:val="00851946"/>
    <w:rsid w:val="00851FDB"/>
    <w:rsid w:val="00852541"/>
    <w:rsid w:val="00853486"/>
    <w:rsid w:val="008538F8"/>
    <w:rsid w:val="00853BDA"/>
    <w:rsid w:val="0085455A"/>
    <w:rsid w:val="008556F8"/>
    <w:rsid w:val="00856CF9"/>
    <w:rsid w:val="00861C4F"/>
    <w:rsid w:val="00862D5B"/>
    <w:rsid w:val="00862EA7"/>
    <w:rsid w:val="00864EC2"/>
    <w:rsid w:val="00865498"/>
    <w:rsid w:val="0086674E"/>
    <w:rsid w:val="00867536"/>
    <w:rsid w:val="0086799C"/>
    <w:rsid w:val="00870DB3"/>
    <w:rsid w:val="0087247B"/>
    <w:rsid w:val="008736FB"/>
    <w:rsid w:val="00875ADA"/>
    <w:rsid w:val="00875FA9"/>
    <w:rsid w:val="00876954"/>
    <w:rsid w:val="00876A48"/>
    <w:rsid w:val="00877E75"/>
    <w:rsid w:val="008803E8"/>
    <w:rsid w:val="00882E30"/>
    <w:rsid w:val="00882EF7"/>
    <w:rsid w:val="00883282"/>
    <w:rsid w:val="00883AC6"/>
    <w:rsid w:val="00883C76"/>
    <w:rsid w:val="00884D88"/>
    <w:rsid w:val="008856CC"/>
    <w:rsid w:val="008859A3"/>
    <w:rsid w:val="008872AE"/>
    <w:rsid w:val="00891F32"/>
    <w:rsid w:val="00897578"/>
    <w:rsid w:val="008A088C"/>
    <w:rsid w:val="008A2CB0"/>
    <w:rsid w:val="008A32C3"/>
    <w:rsid w:val="008A4EF6"/>
    <w:rsid w:val="008A646B"/>
    <w:rsid w:val="008B0EF2"/>
    <w:rsid w:val="008B12BA"/>
    <w:rsid w:val="008B3BAF"/>
    <w:rsid w:val="008B3E52"/>
    <w:rsid w:val="008B506F"/>
    <w:rsid w:val="008B64D4"/>
    <w:rsid w:val="008B7F2E"/>
    <w:rsid w:val="008C009B"/>
    <w:rsid w:val="008C2A9B"/>
    <w:rsid w:val="008C480E"/>
    <w:rsid w:val="008D1B16"/>
    <w:rsid w:val="008D1D87"/>
    <w:rsid w:val="008D6C17"/>
    <w:rsid w:val="008E0FE8"/>
    <w:rsid w:val="008E1612"/>
    <w:rsid w:val="008E3F74"/>
    <w:rsid w:val="008E4151"/>
    <w:rsid w:val="008E6796"/>
    <w:rsid w:val="008E706B"/>
    <w:rsid w:val="008E7CDE"/>
    <w:rsid w:val="008F0778"/>
    <w:rsid w:val="008F1134"/>
    <w:rsid w:val="008F1982"/>
    <w:rsid w:val="008F1EE7"/>
    <w:rsid w:val="008F26B7"/>
    <w:rsid w:val="008F27B9"/>
    <w:rsid w:val="008F2DAD"/>
    <w:rsid w:val="008F3690"/>
    <w:rsid w:val="008F66FE"/>
    <w:rsid w:val="008F72C2"/>
    <w:rsid w:val="008F7320"/>
    <w:rsid w:val="008F7F3F"/>
    <w:rsid w:val="009002E0"/>
    <w:rsid w:val="00900B83"/>
    <w:rsid w:val="00900F54"/>
    <w:rsid w:val="00901BD6"/>
    <w:rsid w:val="009022F0"/>
    <w:rsid w:val="00905063"/>
    <w:rsid w:val="00906056"/>
    <w:rsid w:val="00906103"/>
    <w:rsid w:val="00906738"/>
    <w:rsid w:val="0090731E"/>
    <w:rsid w:val="00907AC2"/>
    <w:rsid w:val="00910EEB"/>
    <w:rsid w:val="00912A6B"/>
    <w:rsid w:val="00912F1E"/>
    <w:rsid w:val="00913149"/>
    <w:rsid w:val="00913AFA"/>
    <w:rsid w:val="009144ED"/>
    <w:rsid w:val="0091482F"/>
    <w:rsid w:val="0091550F"/>
    <w:rsid w:val="00915FAB"/>
    <w:rsid w:val="00917037"/>
    <w:rsid w:val="0092281A"/>
    <w:rsid w:val="00922CCF"/>
    <w:rsid w:val="009245EC"/>
    <w:rsid w:val="00924D64"/>
    <w:rsid w:val="00924E03"/>
    <w:rsid w:val="0092541E"/>
    <w:rsid w:val="00926A4F"/>
    <w:rsid w:val="0092748C"/>
    <w:rsid w:val="00927CA4"/>
    <w:rsid w:val="009307F9"/>
    <w:rsid w:val="00931157"/>
    <w:rsid w:val="00931531"/>
    <w:rsid w:val="009343F3"/>
    <w:rsid w:val="0093697D"/>
    <w:rsid w:val="00937E21"/>
    <w:rsid w:val="00940740"/>
    <w:rsid w:val="0094093C"/>
    <w:rsid w:val="0094119F"/>
    <w:rsid w:val="00941F81"/>
    <w:rsid w:val="00943B37"/>
    <w:rsid w:val="00944572"/>
    <w:rsid w:val="00947504"/>
    <w:rsid w:val="009477A3"/>
    <w:rsid w:val="00950009"/>
    <w:rsid w:val="00950103"/>
    <w:rsid w:val="00950FDB"/>
    <w:rsid w:val="00951273"/>
    <w:rsid w:val="00951688"/>
    <w:rsid w:val="00951A7E"/>
    <w:rsid w:val="00955382"/>
    <w:rsid w:val="009555B5"/>
    <w:rsid w:val="00960748"/>
    <w:rsid w:val="00961675"/>
    <w:rsid w:val="00962780"/>
    <w:rsid w:val="00962CE3"/>
    <w:rsid w:val="00964A2E"/>
    <w:rsid w:val="00966069"/>
    <w:rsid w:val="009675AA"/>
    <w:rsid w:val="00970433"/>
    <w:rsid w:val="00971511"/>
    <w:rsid w:val="00972940"/>
    <w:rsid w:val="009729DF"/>
    <w:rsid w:val="00974EF1"/>
    <w:rsid w:val="00976CDF"/>
    <w:rsid w:val="00977051"/>
    <w:rsid w:val="00977424"/>
    <w:rsid w:val="00977AC6"/>
    <w:rsid w:val="00977AE3"/>
    <w:rsid w:val="009814B1"/>
    <w:rsid w:val="0098262D"/>
    <w:rsid w:val="00982BB3"/>
    <w:rsid w:val="00983E44"/>
    <w:rsid w:val="00985034"/>
    <w:rsid w:val="00985E96"/>
    <w:rsid w:val="00985F87"/>
    <w:rsid w:val="00986920"/>
    <w:rsid w:val="00986B24"/>
    <w:rsid w:val="0098715C"/>
    <w:rsid w:val="0099017E"/>
    <w:rsid w:val="00990305"/>
    <w:rsid w:val="00990427"/>
    <w:rsid w:val="009904CB"/>
    <w:rsid w:val="00990958"/>
    <w:rsid w:val="0099326D"/>
    <w:rsid w:val="00996470"/>
    <w:rsid w:val="009A5113"/>
    <w:rsid w:val="009A6C71"/>
    <w:rsid w:val="009A7FCB"/>
    <w:rsid w:val="009B0042"/>
    <w:rsid w:val="009B2813"/>
    <w:rsid w:val="009B6162"/>
    <w:rsid w:val="009B6381"/>
    <w:rsid w:val="009B7283"/>
    <w:rsid w:val="009C01EF"/>
    <w:rsid w:val="009C0344"/>
    <w:rsid w:val="009C4997"/>
    <w:rsid w:val="009C55E0"/>
    <w:rsid w:val="009C6968"/>
    <w:rsid w:val="009D12AC"/>
    <w:rsid w:val="009D1ADD"/>
    <w:rsid w:val="009D5554"/>
    <w:rsid w:val="009E12F0"/>
    <w:rsid w:val="009E36E3"/>
    <w:rsid w:val="009E3A0D"/>
    <w:rsid w:val="009E3BBF"/>
    <w:rsid w:val="009E3D4D"/>
    <w:rsid w:val="009E4858"/>
    <w:rsid w:val="009E5320"/>
    <w:rsid w:val="009E53AB"/>
    <w:rsid w:val="009E6149"/>
    <w:rsid w:val="009E6DF0"/>
    <w:rsid w:val="009F093C"/>
    <w:rsid w:val="009F46E6"/>
    <w:rsid w:val="009F48CC"/>
    <w:rsid w:val="009F4CA7"/>
    <w:rsid w:val="009F527D"/>
    <w:rsid w:val="009F5525"/>
    <w:rsid w:val="009F5789"/>
    <w:rsid w:val="009F5A66"/>
    <w:rsid w:val="00A0247C"/>
    <w:rsid w:val="00A053C3"/>
    <w:rsid w:val="00A079CA"/>
    <w:rsid w:val="00A07B6E"/>
    <w:rsid w:val="00A1057D"/>
    <w:rsid w:val="00A10975"/>
    <w:rsid w:val="00A124D5"/>
    <w:rsid w:val="00A14E91"/>
    <w:rsid w:val="00A16369"/>
    <w:rsid w:val="00A1745A"/>
    <w:rsid w:val="00A218E3"/>
    <w:rsid w:val="00A21A22"/>
    <w:rsid w:val="00A23B42"/>
    <w:rsid w:val="00A24E4B"/>
    <w:rsid w:val="00A263E0"/>
    <w:rsid w:val="00A2704F"/>
    <w:rsid w:val="00A27C8E"/>
    <w:rsid w:val="00A3124E"/>
    <w:rsid w:val="00A316A6"/>
    <w:rsid w:val="00A317F8"/>
    <w:rsid w:val="00A31963"/>
    <w:rsid w:val="00A416B6"/>
    <w:rsid w:val="00A425E6"/>
    <w:rsid w:val="00A43419"/>
    <w:rsid w:val="00A43676"/>
    <w:rsid w:val="00A44834"/>
    <w:rsid w:val="00A44DE8"/>
    <w:rsid w:val="00A50087"/>
    <w:rsid w:val="00A555BC"/>
    <w:rsid w:val="00A5603F"/>
    <w:rsid w:val="00A56386"/>
    <w:rsid w:val="00A573EC"/>
    <w:rsid w:val="00A57970"/>
    <w:rsid w:val="00A62497"/>
    <w:rsid w:val="00A630A3"/>
    <w:rsid w:val="00A6401E"/>
    <w:rsid w:val="00A70C32"/>
    <w:rsid w:val="00A71E20"/>
    <w:rsid w:val="00A71F42"/>
    <w:rsid w:val="00A72A1B"/>
    <w:rsid w:val="00A72A70"/>
    <w:rsid w:val="00A73D0F"/>
    <w:rsid w:val="00A751F4"/>
    <w:rsid w:val="00A76F56"/>
    <w:rsid w:val="00A801C6"/>
    <w:rsid w:val="00A80996"/>
    <w:rsid w:val="00A8224A"/>
    <w:rsid w:val="00A82359"/>
    <w:rsid w:val="00A82E9C"/>
    <w:rsid w:val="00A842D8"/>
    <w:rsid w:val="00A84F41"/>
    <w:rsid w:val="00A86741"/>
    <w:rsid w:val="00A87011"/>
    <w:rsid w:val="00A8783D"/>
    <w:rsid w:val="00A87F06"/>
    <w:rsid w:val="00A906AC"/>
    <w:rsid w:val="00A90E57"/>
    <w:rsid w:val="00A91011"/>
    <w:rsid w:val="00A91081"/>
    <w:rsid w:val="00A935FE"/>
    <w:rsid w:val="00A95A91"/>
    <w:rsid w:val="00A976B5"/>
    <w:rsid w:val="00AA1518"/>
    <w:rsid w:val="00AA218F"/>
    <w:rsid w:val="00AA2ECD"/>
    <w:rsid w:val="00AA4F1D"/>
    <w:rsid w:val="00AA5549"/>
    <w:rsid w:val="00AA7DB0"/>
    <w:rsid w:val="00AB0D1C"/>
    <w:rsid w:val="00AB64AE"/>
    <w:rsid w:val="00AB727B"/>
    <w:rsid w:val="00AB7877"/>
    <w:rsid w:val="00AB7AC6"/>
    <w:rsid w:val="00AC17B6"/>
    <w:rsid w:val="00AC1D6F"/>
    <w:rsid w:val="00AC3157"/>
    <w:rsid w:val="00AC6FF4"/>
    <w:rsid w:val="00AD0CFF"/>
    <w:rsid w:val="00AD2119"/>
    <w:rsid w:val="00AD2EEA"/>
    <w:rsid w:val="00AD4BA8"/>
    <w:rsid w:val="00AD5E41"/>
    <w:rsid w:val="00AD7675"/>
    <w:rsid w:val="00AE0339"/>
    <w:rsid w:val="00AE1183"/>
    <w:rsid w:val="00AE1862"/>
    <w:rsid w:val="00AE1DBE"/>
    <w:rsid w:val="00AE3E1A"/>
    <w:rsid w:val="00AE52FA"/>
    <w:rsid w:val="00AE5E63"/>
    <w:rsid w:val="00AE78C3"/>
    <w:rsid w:val="00AF11DC"/>
    <w:rsid w:val="00AF2ABC"/>
    <w:rsid w:val="00AF2D35"/>
    <w:rsid w:val="00AF3C94"/>
    <w:rsid w:val="00AF4A1F"/>
    <w:rsid w:val="00AF4C0F"/>
    <w:rsid w:val="00AF4FDF"/>
    <w:rsid w:val="00AF5723"/>
    <w:rsid w:val="00AF6D18"/>
    <w:rsid w:val="00AF71D2"/>
    <w:rsid w:val="00B02BBD"/>
    <w:rsid w:val="00B03603"/>
    <w:rsid w:val="00B0363F"/>
    <w:rsid w:val="00B040B8"/>
    <w:rsid w:val="00B04953"/>
    <w:rsid w:val="00B053FB"/>
    <w:rsid w:val="00B05750"/>
    <w:rsid w:val="00B06212"/>
    <w:rsid w:val="00B1290C"/>
    <w:rsid w:val="00B12C31"/>
    <w:rsid w:val="00B130AB"/>
    <w:rsid w:val="00B13C1D"/>
    <w:rsid w:val="00B14F14"/>
    <w:rsid w:val="00B15425"/>
    <w:rsid w:val="00B20AA7"/>
    <w:rsid w:val="00B20D10"/>
    <w:rsid w:val="00B2168F"/>
    <w:rsid w:val="00B21FFB"/>
    <w:rsid w:val="00B22CF5"/>
    <w:rsid w:val="00B25612"/>
    <w:rsid w:val="00B259B6"/>
    <w:rsid w:val="00B26209"/>
    <w:rsid w:val="00B26BD4"/>
    <w:rsid w:val="00B26E12"/>
    <w:rsid w:val="00B27209"/>
    <w:rsid w:val="00B30417"/>
    <w:rsid w:val="00B3144E"/>
    <w:rsid w:val="00B318A8"/>
    <w:rsid w:val="00B323A3"/>
    <w:rsid w:val="00B33030"/>
    <w:rsid w:val="00B33AA1"/>
    <w:rsid w:val="00B34443"/>
    <w:rsid w:val="00B34CA8"/>
    <w:rsid w:val="00B34DFE"/>
    <w:rsid w:val="00B40081"/>
    <w:rsid w:val="00B424E4"/>
    <w:rsid w:val="00B42672"/>
    <w:rsid w:val="00B42C44"/>
    <w:rsid w:val="00B44ABA"/>
    <w:rsid w:val="00B4529E"/>
    <w:rsid w:val="00B455AA"/>
    <w:rsid w:val="00B46A7F"/>
    <w:rsid w:val="00B515A9"/>
    <w:rsid w:val="00B53F53"/>
    <w:rsid w:val="00B54592"/>
    <w:rsid w:val="00B603F2"/>
    <w:rsid w:val="00B60AA7"/>
    <w:rsid w:val="00B646D6"/>
    <w:rsid w:val="00B65EB4"/>
    <w:rsid w:val="00B66F6C"/>
    <w:rsid w:val="00B67CA4"/>
    <w:rsid w:val="00B72662"/>
    <w:rsid w:val="00B726C3"/>
    <w:rsid w:val="00B727FA"/>
    <w:rsid w:val="00B72EC2"/>
    <w:rsid w:val="00B74ADF"/>
    <w:rsid w:val="00B767CC"/>
    <w:rsid w:val="00B77AB3"/>
    <w:rsid w:val="00B77E13"/>
    <w:rsid w:val="00B834E6"/>
    <w:rsid w:val="00B83683"/>
    <w:rsid w:val="00B8401D"/>
    <w:rsid w:val="00B84B87"/>
    <w:rsid w:val="00B85593"/>
    <w:rsid w:val="00B86199"/>
    <w:rsid w:val="00B863B5"/>
    <w:rsid w:val="00B87E62"/>
    <w:rsid w:val="00B909E7"/>
    <w:rsid w:val="00B913DD"/>
    <w:rsid w:val="00B91505"/>
    <w:rsid w:val="00B92BC1"/>
    <w:rsid w:val="00B95F27"/>
    <w:rsid w:val="00B97499"/>
    <w:rsid w:val="00B9764E"/>
    <w:rsid w:val="00B97A39"/>
    <w:rsid w:val="00B97A46"/>
    <w:rsid w:val="00BA787F"/>
    <w:rsid w:val="00BA79CF"/>
    <w:rsid w:val="00BB784B"/>
    <w:rsid w:val="00BC1A7B"/>
    <w:rsid w:val="00BC28D4"/>
    <w:rsid w:val="00BC2E60"/>
    <w:rsid w:val="00BC435D"/>
    <w:rsid w:val="00BC5283"/>
    <w:rsid w:val="00BC5287"/>
    <w:rsid w:val="00BD0062"/>
    <w:rsid w:val="00BD12BC"/>
    <w:rsid w:val="00BD1DEB"/>
    <w:rsid w:val="00BD322A"/>
    <w:rsid w:val="00BD3B80"/>
    <w:rsid w:val="00BD482E"/>
    <w:rsid w:val="00BD4956"/>
    <w:rsid w:val="00BD6758"/>
    <w:rsid w:val="00BD7587"/>
    <w:rsid w:val="00BE03A0"/>
    <w:rsid w:val="00BE175A"/>
    <w:rsid w:val="00BE21B9"/>
    <w:rsid w:val="00BE31BD"/>
    <w:rsid w:val="00BE5106"/>
    <w:rsid w:val="00BF1D97"/>
    <w:rsid w:val="00BF2A75"/>
    <w:rsid w:val="00BF30D5"/>
    <w:rsid w:val="00BF36B7"/>
    <w:rsid w:val="00BF7426"/>
    <w:rsid w:val="00BF794F"/>
    <w:rsid w:val="00C0141D"/>
    <w:rsid w:val="00C01749"/>
    <w:rsid w:val="00C0207D"/>
    <w:rsid w:val="00C047BA"/>
    <w:rsid w:val="00C04BE8"/>
    <w:rsid w:val="00C04DA6"/>
    <w:rsid w:val="00C04F01"/>
    <w:rsid w:val="00C05D9B"/>
    <w:rsid w:val="00C0734E"/>
    <w:rsid w:val="00C0752A"/>
    <w:rsid w:val="00C102F1"/>
    <w:rsid w:val="00C10BE7"/>
    <w:rsid w:val="00C125BA"/>
    <w:rsid w:val="00C13162"/>
    <w:rsid w:val="00C13F49"/>
    <w:rsid w:val="00C1560C"/>
    <w:rsid w:val="00C167E4"/>
    <w:rsid w:val="00C218FA"/>
    <w:rsid w:val="00C21D82"/>
    <w:rsid w:val="00C22C10"/>
    <w:rsid w:val="00C242DA"/>
    <w:rsid w:val="00C24B31"/>
    <w:rsid w:val="00C24FCD"/>
    <w:rsid w:val="00C251F2"/>
    <w:rsid w:val="00C25264"/>
    <w:rsid w:val="00C25AC1"/>
    <w:rsid w:val="00C25FD1"/>
    <w:rsid w:val="00C263A9"/>
    <w:rsid w:val="00C2656D"/>
    <w:rsid w:val="00C26911"/>
    <w:rsid w:val="00C2794C"/>
    <w:rsid w:val="00C30589"/>
    <w:rsid w:val="00C30C84"/>
    <w:rsid w:val="00C31CCE"/>
    <w:rsid w:val="00C3412D"/>
    <w:rsid w:val="00C36848"/>
    <w:rsid w:val="00C36974"/>
    <w:rsid w:val="00C36F5F"/>
    <w:rsid w:val="00C37E18"/>
    <w:rsid w:val="00C40CDD"/>
    <w:rsid w:val="00C41464"/>
    <w:rsid w:val="00C4781D"/>
    <w:rsid w:val="00C50894"/>
    <w:rsid w:val="00C5496E"/>
    <w:rsid w:val="00C555B3"/>
    <w:rsid w:val="00C5583F"/>
    <w:rsid w:val="00C57BE5"/>
    <w:rsid w:val="00C60AAE"/>
    <w:rsid w:val="00C618F0"/>
    <w:rsid w:val="00C61D05"/>
    <w:rsid w:val="00C6230C"/>
    <w:rsid w:val="00C639D4"/>
    <w:rsid w:val="00C6447E"/>
    <w:rsid w:val="00C64684"/>
    <w:rsid w:val="00C65310"/>
    <w:rsid w:val="00C70AE6"/>
    <w:rsid w:val="00C7171F"/>
    <w:rsid w:val="00C73024"/>
    <w:rsid w:val="00C75CF5"/>
    <w:rsid w:val="00C76C73"/>
    <w:rsid w:val="00C772FC"/>
    <w:rsid w:val="00C77E79"/>
    <w:rsid w:val="00C7E18C"/>
    <w:rsid w:val="00C80980"/>
    <w:rsid w:val="00C840AE"/>
    <w:rsid w:val="00C8442D"/>
    <w:rsid w:val="00C848F6"/>
    <w:rsid w:val="00C86EC4"/>
    <w:rsid w:val="00C87599"/>
    <w:rsid w:val="00C919F1"/>
    <w:rsid w:val="00C91BD5"/>
    <w:rsid w:val="00C91ECC"/>
    <w:rsid w:val="00C92B9C"/>
    <w:rsid w:val="00C95B34"/>
    <w:rsid w:val="00C96A62"/>
    <w:rsid w:val="00C9734B"/>
    <w:rsid w:val="00C97E3B"/>
    <w:rsid w:val="00CA0FD7"/>
    <w:rsid w:val="00CA13E5"/>
    <w:rsid w:val="00CA4E97"/>
    <w:rsid w:val="00CB3000"/>
    <w:rsid w:val="00CB3994"/>
    <w:rsid w:val="00CB48C8"/>
    <w:rsid w:val="00CB4B71"/>
    <w:rsid w:val="00CB522C"/>
    <w:rsid w:val="00CB710F"/>
    <w:rsid w:val="00CB7D9C"/>
    <w:rsid w:val="00CC0850"/>
    <w:rsid w:val="00CC0C7F"/>
    <w:rsid w:val="00CC528F"/>
    <w:rsid w:val="00CC56C3"/>
    <w:rsid w:val="00CC5EA3"/>
    <w:rsid w:val="00CC697D"/>
    <w:rsid w:val="00CC6C4A"/>
    <w:rsid w:val="00CD05F8"/>
    <w:rsid w:val="00CD164F"/>
    <w:rsid w:val="00CD23E4"/>
    <w:rsid w:val="00CD5969"/>
    <w:rsid w:val="00CD70E9"/>
    <w:rsid w:val="00CD7E4F"/>
    <w:rsid w:val="00CE08E9"/>
    <w:rsid w:val="00CE1975"/>
    <w:rsid w:val="00CE364F"/>
    <w:rsid w:val="00CE3BF1"/>
    <w:rsid w:val="00CE5FAA"/>
    <w:rsid w:val="00CF342D"/>
    <w:rsid w:val="00CF3A90"/>
    <w:rsid w:val="00CF48EF"/>
    <w:rsid w:val="00CF4CF0"/>
    <w:rsid w:val="00CF52C4"/>
    <w:rsid w:val="00CF58F0"/>
    <w:rsid w:val="00CF669F"/>
    <w:rsid w:val="00CF6E0E"/>
    <w:rsid w:val="00CF7613"/>
    <w:rsid w:val="00D032C5"/>
    <w:rsid w:val="00D044BD"/>
    <w:rsid w:val="00D04C83"/>
    <w:rsid w:val="00D06E0D"/>
    <w:rsid w:val="00D07632"/>
    <w:rsid w:val="00D07AF1"/>
    <w:rsid w:val="00D10A0E"/>
    <w:rsid w:val="00D14263"/>
    <w:rsid w:val="00D14C5B"/>
    <w:rsid w:val="00D16513"/>
    <w:rsid w:val="00D17477"/>
    <w:rsid w:val="00D20C40"/>
    <w:rsid w:val="00D21FDF"/>
    <w:rsid w:val="00D22C0E"/>
    <w:rsid w:val="00D23F91"/>
    <w:rsid w:val="00D247C2"/>
    <w:rsid w:val="00D252A1"/>
    <w:rsid w:val="00D260DF"/>
    <w:rsid w:val="00D32BB4"/>
    <w:rsid w:val="00D32EC9"/>
    <w:rsid w:val="00D350CB"/>
    <w:rsid w:val="00D35FB8"/>
    <w:rsid w:val="00D368DD"/>
    <w:rsid w:val="00D3698A"/>
    <w:rsid w:val="00D43547"/>
    <w:rsid w:val="00D439D7"/>
    <w:rsid w:val="00D43B0D"/>
    <w:rsid w:val="00D43E7A"/>
    <w:rsid w:val="00D465F1"/>
    <w:rsid w:val="00D46B84"/>
    <w:rsid w:val="00D47181"/>
    <w:rsid w:val="00D47287"/>
    <w:rsid w:val="00D505CF"/>
    <w:rsid w:val="00D50F71"/>
    <w:rsid w:val="00D5239A"/>
    <w:rsid w:val="00D5317C"/>
    <w:rsid w:val="00D53D5C"/>
    <w:rsid w:val="00D549A4"/>
    <w:rsid w:val="00D564D6"/>
    <w:rsid w:val="00D57726"/>
    <w:rsid w:val="00D6049D"/>
    <w:rsid w:val="00D64D36"/>
    <w:rsid w:val="00D66823"/>
    <w:rsid w:val="00D66B22"/>
    <w:rsid w:val="00D733FC"/>
    <w:rsid w:val="00D7440B"/>
    <w:rsid w:val="00D749C0"/>
    <w:rsid w:val="00D75E37"/>
    <w:rsid w:val="00D76145"/>
    <w:rsid w:val="00D80C9A"/>
    <w:rsid w:val="00D80D7F"/>
    <w:rsid w:val="00D817A7"/>
    <w:rsid w:val="00D82409"/>
    <w:rsid w:val="00D84B27"/>
    <w:rsid w:val="00D85E59"/>
    <w:rsid w:val="00D86525"/>
    <w:rsid w:val="00D87C8F"/>
    <w:rsid w:val="00D926A3"/>
    <w:rsid w:val="00D92AA2"/>
    <w:rsid w:val="00D93749"/>
    <w:rsid w:val="00D951D6"/>
    <w:rsid w:val="00D95C74"/>
    <w:rsid w:val="00D971F7"/>
    <w:rsid w:val="00D97789"/>
    <w:rsid w:val="00D9787C"/>
    <w:rsid w:val="00DA1328"/>
    <w:rsid w:val="00DB1F8D"/>
    <w:rsid w:val="00DB26B2"/>
    <w:rsid w:val="00DB62E9"/>
    <w:rsid w:val="00DB6F56"/>
    <w:rsid w:val="00DB7AB2"/>
    <w:rsid w:val="00DC0804"/>
    <w:rsid w:val="00DC2493"/>
    <w:rsid w:val="00DC570D"/>
    <w:rsid w:val="00DC7EC1"/>
    <w:rsid w:val="00DD0300"/>
    <w:rsid w:val="00DD1C36"/>
    <w:rsid w:val="00DD1CA9"/>
    <w:rsid w:val="00DD5B94"/>
    <w:rsid w:val="00DD5E6C"/>
    <w:rsid w:val="00DD6030"/>
    <w:rsid w:val="00DD7812"/>
    <w:rsid w:val="00DE0AD7"/>
    <w:rsid w:val="00DE3D5B"/>
    <w:rsid w:val="00DE47D1"/>
    <w:rsid w:val="00DE496B"/>
    <w:rsid w:val="00DE4A57"/>
    <w:rsid w:val="00DE4C19"/>
    <w:rsid w:val="00DE5F83"/>
    <w:rsid w:val="00DE6624"/>
    <w:rsid w:val="00DE729F"/>
    <w:rsid w:val="00DE747A"/>
    <w:rsid w:val="00DF0A8D"/>
    <w:rsid w:val="00DF1A81"/>
    <w:rsid w:val="00DF1BB9"/>
    <w:rsid w:val="00DF2080"/>
    <w:rsid w:val="00DF22D1"/>
    <w:rsid w:val="00DF260D"/>
    <w:rsid w:val="00DF2B3D"/>
    <w:rsid w:val="00DF3164"/>
    <w:rsid w:val="00DF4E4E"/>
    <w:rsid w:val="00DF66CC"/>
    <w:rsid w:val="00DF6C75"/>
    <w:rsid w:val="00DF6D56"/>
    <w:rsid w:val="00DF6E73"/>
    <w:rsid w:val="00DF760E"/>
    <w:rsid w:val="00DF7C68"/>
    <w:rsid w:val="00DF7DF6"/>
    <w:rsid w:val="00E006BB"/>
    <w:rsid w:val="00E0126A"/>
    <w:rsid w:val="00E01ABD"/>
    <w:rsid w:val="00E026B5"/>
    <w:rsid w:val="00E02A9C"/>
    <w:rsid w:val="00E049DA"/>
    <w:rsid w:val="00E0570D"/>
    <w:rsid w:val="00E05D9F"/>
    <w:rsid w:val="00E10809"/>
    <w:rsid w:val="00E11414"/>
    <w:rsid w:val="00E11557"/>
    <w:rsid w:val="00E129F8"/>
    <w:rsid w:val="00E1427D"/>
    <w:rsid w:val="00E14E6D"/>
    <w:rsid w:val="00E1647B"/>
    <w:rsid w:val="00E16BDB"/>
    <w:rsid w:val="00E217F0"/>
    <w:rsid w:val="00E23CC4"/>
    <w:rsid w:val="00E23D58"/>
    <w:rsid w:val="00E24B8E"/>
    <w:rsid w:val="00E2565F"/>
    <w:rsid w:val="00E25F0C"/>
    <w:rsid w:val="00E26752"/>
    <w:rsid w:val="00E26A19"/>
    <w:rsid w:val="00E26B00"/>
    <w:rsid w:val="00E30C77"/>
    <w:rsid w:val="00E34BB7"/>
    <w:rsid w:val="00E351C6"/>
    <w:rsid w:val="00E41053"/>
    <w:rsid w:val="00E42FAC"/>
    <w:rsid w:val="00E431E6"/>
    <w:rsid w:val="00E45106"/>
    <w:rsid w:val="00E53465"/>
    <w:rsid w:val="00E554BB"/>
    <w:rsid w:val="00E575CD"/>
    <w:rsid w:val="00E57A1A"/>
    <w:rsid w:val="00E60B8D"/>
    <w:rsid w:val="00E634E4"/>
    <w:rsid w:val="00E64A3D"/>
    <w:rsid w:val="00E65D61"/>
    <w:rsid w:val="00E70B7F"/>
    <w:rsid w:val="00E71168"/>
    <w:rsid w:val="00E7428C"/>
    <w:rsid w:val="00E74321"/>
    <w:rsid w:val="00E77FB7"/>
    <w:rsid w:val="00E80CBF"/>
    <w:rsid w:val="00E82AA7"/>
    <w:rsid w:val="00E82AC6"/>
    <w:rsid w:val="00E83704"/>
    <w:rsid w:val="00E8437B"/>
    <w:rsid w:val="00E845FC"/>
    <w:rsid w:val="00E8464C"/>
    <w:rsid w:val="00E85879"/>
    <w:rsid w:val="00E85D03"/>
    <w:rsid w:val="00E85FED"/>
    <w:rsid w:val="00E86755"/>
    <w:rsid w:val="00E90DCF"/>
    <w:rsid w:val="00E919BA"/>
    <w:rsid w:val="00E922D2"/>
    <w:rsid w:val="00E93687"/>
    <w:rsid w:val="00E93C1C"/>
    <w:rsid w:val="00E94C77"/>
    <w:rsid w:val="00E95AE0"/>
    <w:rsid w:val="00E96741"/>
    <w:rsid w:val="00E973F7"/>
    <w:rsid w:val="00EA0E1B"/>
    <w:rsid w:val="00EA13BD"/>
    <w:rsid w:val="00EA28AE"/>
    <w:rsid w:val="00EA3B3F"/>
    <w:rsid w:val="00EA4069"/>
    <w:rsid w:val="00EA457E"/>
    <w:rsid w:val="00EA50D3"/>
    <w:rsid w:val="00EA5672"/>
    <w:rsid w:val="00EA593E"/>
    <w:rsid w:val="00EA6FE0"/>
    <w:rsid w:val="00EA7E1B"/>
    <w:rsid w:val="00EB08DE"/>
    <w:rsid w:val="00EB33B7"/>
    <w:rsid w:val="00EB4B00"/>
    <w:rsid w:val="00EB6598"/>
    <w:rsid w:val="00EC0F76"/>
    <w:rsid w:val="00EC1100"/>
    <w:rsid w:val="00EC129B"/>
    <w:rsid w:val="00EC1A50"/>
    <w:rsid w:val="00EC1C29"/>
    <w:rsid w:val="00EC274D"/>
    <w:rsid w:val="00EC2C7F"/>
    <w:rsid w:val="00EC3318"/>
    <w:rsid w:val="00EC3B24"/>
    <w:rsid w:val="00EC55FD"/>
    <w:rsid w:val="00EC63FF"/>
    <w:rsid w:val="00EC7589"/>
    <w:rsid w:val="00EC7883"/>
    <w:rsid w:val="00ED0525"/>
    <w:rsid w:val="00ED0BD0"/>
    <w:rsid w:val="00ED383E"/>
    <w:rsid w:val="00ED6438"/>
    <w:rsid w:val="00EE0C79"/>
    <w:rsid w:val="00EE2856"/>
    <w:rsid w:val="00EE28C7"/>
    <w:rsid w:val="00EE303B"/>
    <w:rsid w:val="00EE3643"/>
    <w:rsid w:val="00EE451F"/>
    <w:rsid w:val="00EE4932"/>
    <w:rsid w:val="00EE561C"/>
    <w:rsid w:val="00EE6070"/>
    <w:rsid w:val="00EE6D8F"/>
    <w:rsid w:val="00EE7D05"/>
    <w:rsid w:val="00EF12F9"/>
    <w:rsid w:val="00EF306E"/>
    <w:rsid w:val="00EF45C8"/>
    <w:rsid w:val="00EF472A"/>
    <w:rsid w:val="00EF5361"/>
    <w:rsid w:val="00EF7E1C"/>
    <w:rsid w:val="00F0064C"/>
    <w:rsid w:val="00F006E0"/>
    <w:rsid w:val="00F013BB"/>
    <w:rsid w:val="00F01622"/>
    <w:rsid w:val="00F0304F"/>
    <w:rsid w:val="00F03664"/>
    <w:rsid w:val="00F042F7"/>
    <w:rsid w:val="00F057B8"/>
    <w:rsid w:val="00F062BC"/>
    <w:rsid w:val="00F078BB"/>
    <w:rsid w:val="00F10CF3"/>
    <w:rsid w:val="00F11648"/>
    <w:rsid w:val="00F12E5F"/>
    <w:rsid w:val="00F13E6C"/>
    <w:rsid w:val="00F14444"/>
    <w:rsid w:val="00F148A9"/>
    <w:rsid w:val="00F15231"/>
    <w:rsid w:val="00F1790C"/>
    <w:rsid w:val="00F17C15"/>
    <w:rsid w:val="00F2143B"/>
    <w:rsid w:val="00F22264"/>
    <w:rsid w:val="00F227D4"/>
    <w:rsid w:val="00F23D07"/>
    <w:rsid w:val="00F24543"/>
    <w:rsid w:val="00F25BCA"/>
    <w:rsid w:val="00F26AC2"/>
    <w:rsid w:val="00F27063"/>
    <w:rsid w:val="00F27E79"/>
    <w:rsid w:val="00F3036F"/>
    <w:rsid w:val="00F304B3"/>
    <w:rsid w:val="00F30705"/>
    <w:rsid w:val="00F333A2"/>
    <w:rsid w:val="00F335AE"/>
    <w:rsid w:val="00F33CC5"/>
    <w:rsid w:val="00F34049"/>
    <w:rsid w:val="00F3461F"/>
    <w:rsid w:val="00F36BD1"/>
    <w:rsid w:val="00F3795F"/>
    <w:rsid w:val="00F41361"/>
    <w:rsid w:val="00F41A11"/>
    <w:rsid w:val="00F42AFB"/>
    <w:rsid w:val="00F42BCF"/>
    <w:rsid w:val="00F43658"/>
    <w:rsid w:val="00F44637"/>
    <w:rsid w:val="00F468B9"/>
    <w:rsid w:val="00F510ED"/>
    <w:rsid w:val="00F5137E"/>
    <w:rsid w:val="00F518F4"/>
    <w:rsid w:val="00F51E1D"/>
    <w:rsid w:val="00F52B46"/>
    <w:rsid w:val="00F52CEE"/>
    <w:rsid w:val="00F53A5B"/>
    <w:rsid w:val="00F53E16"/>
    <w:rsid w:val="00F54598"/>
    <w:rsid w:val="00F54BB0"/>
    <w:rsid w:val="00F56A8B"/>
    <w:rsid w:val="00F57910"/>
    <w:rsid w:val="00F70DA1"/>
    <w:rsid w:val="00F728C3"/>
    <w:rsid w:val="00F7399E"/>
    <w:rsid w:val="00F746A0"/>
    <w:rsid w:val="00F75695"/>
    <w:rsid w:val="00F7682B"/>
    <w:rsid w:val="00F7790D"/>
    <w:rsid w:val="00F810CA"/>
    <w:rsid w:val="00F812FC"/>
    <w:rsid w:val="00F8131C"/>
    <w:rsid w:val="00F87102"/>
    <w:rsid w:val="00F8722B"/>
    <w:rsid w:val="00F8761D"/>
    <w:rsid w:val="00F90163"/>
    <w:rsid w:val="00F91DBA"/>
    <w:rsid w:val="00F92403"/>
    <w:rsid w:val="00F94442"/>
    <w:rsid w:val="00F94B6E"/>
    <w:rsid w:val="00F95372"/>
    <w:rsid w:val="00F959F8"/>
    <w:rsid w:val="00F96340"/>
    <w:rsid w:val="00F9773C"/>
    <w:rsid w:val="00FA143A"/>
    <w:rsid w:val="00FA2DBC"/>
    <w:rsid w:val="00FA36B1"/>
    <w:rsid w:val="00FA5F67"/>
    <w:rsid w:val="00FA6E85"/>
    <w:rsid w:val="00FA7049"/>
    <w:rsid w:val="00FA72FF"/>
    <w:rsid w:val="00FA77F9"/>
    <w:rsid w:val="00FB0A0D"/>
    <w:rsid w:val="00FB29E6"/>
    <w:rsid w:val="00FB387C"/>
    <w:rsid w:val="00FB7C4E"/>
    <w:rsid w:val="00FC21CA"/>
    <w:rsid w:val="00FC32B8"/>
    <w:rsid w:val="00FC432A"/>
    <w:rsid w:val="00FC49BA"/>
    <w:rsid w:val="00FC51EA"/>
    <w:rsid w:val="00FD0554"/>
    <w:rsid w:val="00FD2738"/>
    <w:rsid w:val="00FD34A2"/>
    <w:rsid w:val="00FD3CF2"/>
    <w:rsid w:val="00FD3DE2"/>
    <w:rsid w:val="00FD40C5"/>
    <w:rsid w:val="00FD7456"/>
    <w:rsid w:val="00FE16CE"/>
    <w:rsid w:val="00FE183B"/>
    <w:rsid w:val="00FE207C"/>
    <w:rsid w:val="00FE3A2A"/>
    <w:rsid w:val="00FE3B43"/>
    <w:rsid w:val="00FE3C4B"/>
    <w:rsid w:val="00FE3D41"/>
    <w:rsid w:val="00FE52F9"/>
    <w:rsid w:val="00FE5F9E"/>
    <w:rsid w:val="00FE6850"/>
    <w:rsid w:val="00FE7261"/>
    <w:rsid w:val="00FF004C"/>
    <w:rsid w:val="00FF019B"/>
    <w:rsid w:val="00FF54FA"/>
    <w:rsid w:val="00FF5972"/>
    <w:rsid w:val="00FF768D"/>
    <w:rsid w:val="017D47A0"/>
    <w:rsid w:val="01850B7D"/>
    <w:rsid w:val="01A7ED9D"/>
    <w:rsid w:val="021597A7"/>
    <w:rsid w:val="0325B0C2"/>
    <w:rsid w:val="03907570"/>
    <w:rsid w:val="03C843B8"/>
    <w:rsid w:val="04AE2E52"/>
    <w:rsid w:val="053F313F"/>
    <w:rsid w:val="0582FF24"/>
    <w:rsid w:val="05D440FA"/>
    <w:rsid w:val="06059F4E"/>
    <w:rsid w:val="064521F0"/>
    <w:rsid w:val="068E0232"/>
    <w:rsid w:val="06E7DA18"/>
    <w:rsid w:val="06F552C4"/>
    <w:rsid w:val="07289B8A"/>
    <w:rsid w:val="08046CBD"/>
    <w:rsid w:val="08107BA4"/>
    <w:rsid w:val="081A98C0"/>
    <w:rsid w:val="08608331"/>
    <w:rsid w:val="088DD747"/>
    <w:rsid w:val="08F80512"/>
    <w:rsid w:val="09771A09"/>
    <w:rsid w:val="0AAAAA14"/>
    <w:rsid w:val="0AD8FC68"/>
    <w:rsid w:val="0B09ADEA"/>
    <w:rsid w:val="0B1C3B18"/>
    <w:rsid w:val="0B4010FE"/>
    <w:rsid w:val="0C4E02B0"/>
    <w:rsid w:val="0CBA0770"/>
    <w:rsid w:val="0CD5413B"/>
    <w:rsid w:val="0D2F891C"/>
    <w:rsid w:val="0D554D28"/>
    <w:rsid w:val="0DFF507F"/>
    <w:rsid w:val="0E0B33FE"/>
    <w:rsid w:val="0EF80D00"/>
    <w:rsid w:val="113FFBAD"/>
    <w:rsid w:val="114A095B"/>
    <w:rsid w:val="115A4B87"/>
    <w:rsid w:val="118623C6"/>
    <w:rsid w:val="11F055A3"/>
    <w:rsid w:val="11F91DF8"/>
    <w:rsid w:val="124486BD"/>
    <w:rsid w:val="1278FA04"/>
    <w:rsid w:val="12A0B3C2"/>
    <w:rsid w:val="12FBBAD6"/>
    <w:rsid w:val="130CEACD"/>
    <w:rsid w:val="13CD9D29"/>
    <w:rsid w:val="140F08EB"/>
    <w:rsid w:val="1463BEB4"/>
    <w:rsid w:val="148192ED"/>
    <w:rsid w:val="14CCD7FF"/>
    <w:rsid w:val="15A38FFF"/>
    <w:rsid w:val="15FA4AB4"/>
    <w:rsid w:val="16A31FFB"/>
    <w:rsid w:val="16A669E5"/>
    <w:rsid w:val="16A94882"/>
    <w:rsid w:val="16E58C1D"/>
    <w:rsid w:val="16FD1770"/>
    <w:rsid w:val="173DDBCD"/>
    <w:rsid w:val="173F99A5"/>
    <w:rsid w:val="177E006D"/>
    <w:rsid w:val="17DB9702"/>
    <w:rsid w:val="18BB3A9C"/>
    <w:rsid w:val="18EE81C9"/>
    <w:rsid w:val="1922897E"/>
    <w:rsid w:val="193E1912"/>
    <w:rsid w:val="19E3DCC3"/>
    <w:rsid w:val="19F10392"/>
    <w:rsid w:val="19F851C3"/>
    <w:rsid w:val="1A279FC6"/>
    <w:rsid w:val="1A982C95"/>
    <w:rsid w:val="1AF62B78"/>
    <w:rsid w:val="1B934AD5"/>
    <w:rsid w:val="1BB04047"/>
    <w:rsid w:val="1C64E0A4"/>
    <w:rsid w:val="1CE081C8"/>
    <w:rsid w:val="1CE76980"/>
    <w:rsid w:val="1CED0A30"/>
    <w:rsid w:val="1D197172"/>
    <w:rsid w:val="1DCC321C"/>
    <w:rsid w:val="1E9E510C"/>
    <w:rsid w:val="1EC12BFC"/>
    <w:rsid w:val="1EE2CE89"/>
    <w:rsid w:val="1EF09B39"/>
    <w:rsid w:val="1F007242"/>
    <w:rsid w:val="1F36A4F7"/>
    <w:rsid w:val="1F415FDC"/>
    <w:rsid w:val="202EC0EB"/>
    <w:rsid w:val="203FCB7E"/>
    <w:rsid w:val="2043064C"/>
    <w:rsid w:val="206EE446"/>
    <w:rsid w:val="22426D2C"/>
    <w:rsid w:val="228AA83E"/>
    <w:rsid w:val="22CBB355"/>
    <w:rsid w:val="2496C1BC"/>
    <w:rsid w:val="24A6DA11"/>
    <w:rsid w:val="24C2763A"/>
    <w:rsid w:val="24EF2447"/>
    <w:rsid w:val="253D4B0A"/>
    <w:rsid w:val="256FAF0D"/>
    <w:rsid w:val="25D2AAB9"/>
    <w:rsid w:val="26082EF5"/>
    <w:rsid w:val="268D3C74"/>
    <w:rsid w:val="2698B9A6"/>
    <w:rsid w:val="26E150D6"/>
    <w:rsid w:val="27EBACD5"/>
    <w:rsid w:val="294F3D62"/>
    <w:rsid w:val="295E11E0"/>
    <w:rsid w:val="29654C82"/>
    <w:rsid w:val="297F7190"/>
    <w:rsid w:val="29F941D7"/>
    <w:rsid w:val="2A4B7932"/>
    <w:rsid w:val="2A5C8751"/>
    <w:rsid w:val="2ABE1772"/>
    <w:rsid w:val="2AEA2178"/>
    <w:rsid w:val="2C0119D0"/>
    <w:rsid w:val="2C832889"/>
    <w:rsid w:val="2D0867FF"/>
    <w:rsid w:val="2D33914C"/>
    <w:rsid w:val="2D94F753"/>
    <w:rsid w:val="2DB243C3"/>
    <w:rsid w:val="2DF92537"/>
    <w:rsid w:val="2E051279"/>
    <w:rsid w:val="2E6D0348"/>
    <w:rsid w:val="2E70BE88"/>
    <w:rsid w:val="2EFD5517"/>
    <w:rsid w:val="2F229993"/>
    <w:rsid w:val="2F683FAA"/>
    <w:rsid w:val="2F7A2DA9"/>
    <w:rsid w:val="3035B5B0"/>
    <w:rsid w:val="30586B70"/>
    <w:rsid w:val="30590752"/>
    <w:rsid w:val="307AF0B5"/>
    <w:rsid w:val="30DBE8D3"/>
    <w:rsid w:val="30E2B113"/>
    <w:rsid w:val="30F10AA4"/>
    <w:rsid w:val="317CC78F"/>
    <w:rsid w:val="3276ADE1"/>
    <w:rsid w:val="331F9F56"/>
    <w:rsid w:val="33918AFA"/>
    <w:rsid w:val="33951E5F"/>
    <w:rsid w:val="33987E5C"/>
    <w:rsid w:val="33A2D92C"/>
    <w:rsid w:val="33C3B5BC"/>
    <w:rsid w:val="34760552"/>
    <w:rsid w:val="34D2BD59"/>
    <w:rsid w:val="34D797F7"/>
    <w:rsid w:val="351C9E46"/>
    <w:rsid w:val="354414E3"/>
    <w:rsid w:val="357AA2A4"/>
    <w:rsid w:val="35F6D873"/>
    <w:rsid w:val="36C75BE4"/>
    <w:rsid w:val="36C7902C"/>
    <w:rsid w:val="370CF465"/>
    <w:rsid w:val="372E6111"/>
    <w:rsid w:val="372F8FBA"/>
    <w:rsid w:val="37548CDB"/>
    <w:rsid w:val="388C08FE"/>
    <w:rsid w:val="389204BD"/>
    <w:rsid w:val="3970C66E"/>
    <w:rsid w:val="3A4D1B6F"/>
    <w:rsid w:val="3AE26197"/>
    <w:rsid w:val="3B2B9009"/>
    <w:rsid w:val="3B344118"/>
    <w:rsid w:val="3BCF2418"/>
    <w:rsid w:val="3C075BD7"/>
    <w:rsid w:val="3C325F06"/>
    <w:rsid w:val="3C680A55"/>
    <w:rsid w:val="3C76B841"/>
    <w:rsid w:val="3C908104"/>
    <w:rsid w:val="3CC9AC12"/>
    <w:rsid w:val="3E43CFCD"/>
    <w:rsid w:val="3FCF0141"/>
    <w:rsid w:val="400ABBA3"/>
    <w:rsid w:val="402A11E7"/>
    <w:rsid w:val="404C131C"/>
    <w:rsid w:val="409F5FA1"/>
    <w:rsid w:val="40BBFBF2"/>
    <w:rsid w:val="40E329AE"/>
    <w:rsid w:val="41CBC459"/>
    <w:rsid w:val="427C6E39"/>
    <w:rsid w:val="428152E9"/>
    <w:rsid w:val="43CA84F6"/>
    <w:rsid w:val="44895F6D"/>
    <w:rsid w:val="44B2F46A"/>
    <w:rsid w:val="44F4AA59"/>
    <w:rsid w:val="456852BD"/>
    <w:rsid w:val="45724558"/>
    <w:rsid w:val="45D66323"/>
    <w:rsid w:val="45E92B20"/>
    <w:rsid w:val="45FD0991"/>
    <w:rsid w:val="47255324"/>
    <w:rsid w:val="4728F485"/>
    <w:rsid w:val="47E82A21"/>
    <w:rsid w:val="485DEE0B"/>
    <w:rsid w:val="48B42A24"/>
    <w:rsid w:val="48CE1EE2"/>
    <w:rsid w:val="4900ABB4"/>
    <w:rsid w:val="493CE96B"/>
    <w:rsid w:val="49A65EED"/>
    <w:rsid w:val="49B867F6"/>
    <w:rsid w:val="49FA029F"/>
    <w:rsid w:val="4B073A18"/>
    <w:rsid w:val="4B387C75"/>
    <w:rsid w:val="4B3E50D5"/>
    <w:rsid w:val="4BE60562"/>
    <w:rsid w:val="4C5DAD70"/>
    <w:rsid w:val="4C781213"/>
    <w:rsid w:val="4D1AD251"/>
    <w:rsid w:val="4DDBA9EF"/>
    <w:rsid w:val="4DE26E70"/>
    <w:rsid w:val="4E11D341"/>
    <w:rsid w:val="4E519A0E"/>
    <w:rsid w:val="4EE6AF92"/>
    <w:rsid w:val="4F575819"/>
    <w:rsid w:val="4F70F9FC"/>
    <w:rsid w:val="4FA0DB75"/>
    <w:rsid w:val="4FEF0EB6"/>
    <w:rsid w:val="5038E27F"/>
    <w:rsid w:val="5039746C"/>
    <w:rsid w:val="509CB216"/>
    <w:rsid w:val="5122FC12"/>
    <w:rsid w:val="514D17FA"/>
    <w:rsid w:val="514F5F1D"/>
    <w:rsid w:val="5151E17C"/>
    <w:rsid w:val="51840E72"/>
    <w:rsid w:val="519BBE9A"/>
    <w:rsid w:val="51F23AF3"/>
    <w:rsid w:val="51FC5E93"/>
    <w:rsid w:val="527DF902"/>
    <w:rsid w:val="52C522F5"/>
    <w:rsid w:val="53037588"/>
    <w:rsid w:val="537FCC41"/>
    <w:rsid w:val="54887B38"/>
    <w:rsid w:val="5504CD71"/>
    <w:rsid w:val="552A6D4F"/>
    <w:rsid w:val="5562ADC4"/>
    <w:rsid w:val="5597C47B"/>
    <w:rsid w:val="567BF256"/>
    <w:rsid w:val="569B5345"/>
    <w:rsid w:val="56B16B94"/>
    <w:rsid w:val="573D3588"/>
    <w:rsid w:val="576B0290"/>
    <w:rsid w:val="576F07D3"/>
    <w:rsid w:val="57EBB9DC"/>
    <w:rsid w:val="58057458"/>
    <w:rsid w:val="58067BFB"/>
    <w:rsid w:val="589A3C2E"/>
    <w:rsid w:val="592E03AD"/>
    <w:rsid w:val="5A105303"/>
    <w:rsid w:val="5A8BA092"/>
    <w:rsid w:val="5B1F3496"/>
    <w:rsid w:val="5B75A63E"/>
    <w:rsid w:val="5BBABB44"/>
    <w:rsid w:val="5C258BE9"/>
    <w:rsid w:val="5CFF2DF4"/>
    <w:rsid w:val="5E1DB7C6"/>
    <w:rsid w:val="5F38EE6D"/>
    <w:rsid w:val="5F4FAF9A"/>
    <w:rsid w:val="5F954410"/>
    <w:rsid w:val="5FCB4340"/>
    <w:rsid w:val="608CFC14"/>
    <w:rsid w:val="608D6234"/>
    <w:rsid w:val="609BFF88"/>
    <w:rsid w:val="617B12D8"/>
    <w:rsid w:val="619E4C3C"/>
    <w:rsid w:val="623255B7"/>
    <w:rsid w:val="628A1F60"/>
    <w:rsid w:val="6341B82D"/>
    <w:rsid w:val="63593550"/>
    <w:rsid w:val="639B80EE"/>
    <w:rsid w:val="645D86A9"/>
    <w:rsid w:val="6554DF58"/>
    <w:rsid w:val="656516D6"/>
    <w:rsid w:val="65E9E4DB"/>
    <w:rsid w:val="66452C78"/>
    <w:rsid w:val="666C109A"/>
    <w:rsid w:val="6695887F"/>
    <w:rsid w:val="66AF3A69"/>
    <w:rsid w:val="672557FB"/>
    <w:rsid w:val="684E0FD2"/>
    <w:rsid w:val="68796EA2"/>
    <w:rsid w:val="68961371"/>
    <w:rsid w:val="68E6A649"/>
    <w:rsid w:val="68FAF2E9"/>
    <w:rsid w:val="69D9FCCB"/>
    <w:rsid w:val="69DEA8F5"/>
    <w:rsid w:val="6A1D4D15"/>
    <w:rsid w:val="6A20F465"/>
    <w:rsid w:val="6B3E53F7"/>
    <w:rsid w:val="6BDC542A"/>
    <w:rsid w:val="6C78B4A4"/>
    <w:rsid w:val="6C8605E9"/>
    <w:rsid w:val="6D02A0CE"/>
    <w:rsid w:val="6DF4660C"/>
    <w:rsid w:val="6E373A77"/>
    <w:rsid w:val="6E67E2E2"/>
    <w:rsid w:val="6EC9322C"/>
    <w:rsid w:val="6EECC7C4"/>
    <w:rsid w:val="6EFEDF74"/>
    <w:rsid w:val="6F1472F9"/>
    <w:rsid w:val="6FED5293"/>
    <w:rsid w:val="703A7E67"/>
    <w:rsid w:val="708CF9E0"/>
    <w:rsid w:val="70B28846"/>
    <w:rsid w:val="70BBC7A9"/>
    <w:rsid w:val="7159980A"/>
    <w:rsid w:val="71A70301"/>
    <w:rsid w:val="71D52C6D"/>
    <w:rsid w:val="7223153E"/>
    <w:rsid w:val="73074FCB"/>
    <w:rsid w:val="7316DFBB"/>
    <w:rsid w:val="73B4BA15"/>
    <w:rsid w:val="73C90413"/>
    <w:rsid w:val="73E49734"/>
    <w:rsid w:val="73F0D365"/>
    <w:rsid w:val="74FEC746"/>
    <w:rsid w:val="750191F9"/>
    <w:rsid w:val="752C55C3"/>
    <w:rsid w:val="7538EF45"/>
    <w:rsid w:val="762BC52B"/>
    <w:rsid w:val="7674A3DC"/>
    <w:rsid w:val="7689EFAB"/>
    <w:rsid w:val="769BED3D"/>
    <w:rsid w:val="773820DE"/>
    <w:rsid w:val="778014DD"/>
    <w:rsid w:val="77C918CE"/>
    <w:rsid w:val="77CF792E"/>
    <w:rsid w:val="78B27D89"/>
    <w:rsid w:val="78D48AF0"/>
    <w:rsid w:val="79181237"/>
    <w:rsid w:val="79BA9FA8"/>
    <w:rsid w:val="79C5FF38"/>
    <w:rsid w:val="79C93626"/>
    <w:rsid w:val="7AC1B05A"/>
    <w:rsid w:val="7C01C919"/>
    <w:rsid w:val="7C3948A5"/>
    <w:rsid w:val="7D141FAC"/>
    <w:rsid w:val="7D8526C4"/>
    <w:rsid w:val="7DFCF6D9"/>
    <w:rsid w:val="7E361D8D"/>
    <w:rsid w:val="7E643B6E"/>
    <w:rsid w:val="7E74D9B2"/>
    <w:rsid w:val="7F0BEAF1"/>
    <w:rsid w:val="7F0C0D80"/>
    <w:rsid w:val="7F4D2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E8525FD"/>
  <w15:docId w15:val="{A64F54D4-1020-4004-8319-97628EC7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rsid w:val="00ED0BD0"/>
    <w:pPr>
      <w:tabs>
        <w:tab w:val="center" w:pos="4153"/>
        <w:tab w:val="right" w:pos="8306"/>
      </w:tabs>
    </w:pPr>
    <w:rPr>
      <w:sz w:val="22"/>
      <w:szCs w:val="22"/>
      <w:lang w:val="en-US"/>
    </w:rPr>
  </w:style>
  <w:style w:type="table" w:styleId="TableGrid">
    <w:name w:val="Table Grid"/>
    <w:basedOn w:val="TableNormal"/>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E8437B"/>
    <w:pPr>
      <w:tabs>
        <w:tab w:val="right" w:leader="dot" w:pos="8302"/>
      </w:tabs>
      <w:spacing w:after="240"/>
      <w:ind w:left="1162" w:hanging="1162"/>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1361"/>
    <w:pPr>
      <w:ind w:left="720"/>
      <w:contextualSpacing/>
    </w:pPr>
  </w:style>
  <w:style w:type="character" w:styleId="CommentReference">
    <w:name w:val="annotation reference"/>
    <w:basedOn w:val="DefaultParagraphFont"/>
    <w:rsid w:val="004B0EC6"/>
    <w:rPr>
      <w:sz w:val="16"/>
      <w:szCs w:val="16"/>
    </w:rPr>
  </w:style>
  <w:style w:type="paragraph" w:styleId="CommentText">
    <w:name w:val="annotation text"/>
    <w:basedOn w:val="Normal"/>
    <w:link w:val="CommentTextChar"/>
    <w:rsid w:val="004B0EC6"/>
    <w:rPr>
      <w:sz w:val="20"/>
    </w:rPr>
  </w:style>
  <w:style w:type="character" w:customStyle="1" w:styleId="CommentTextChar">
    <w:name w:val="Comment Text Char"/>
    <w:basedOn w:val="DefaultParagraphFont"/>
    <w:link w:val="CommentText"/>
    <w:rsid w:val="004B0EC6"/>
    <w:rPr>
      <w:rFonts w:ascii="Arial" w:hAnsi="Arial"/>
      <w:lang w:eastAsia="en-US"/>
    </w:rPr>
  </w:style>
  <w:style w:type="paragraph" w:styleId="CommentSubject">
    <w:name w:val="annotation subject"/>
    <w:basedOn w:val="CommentText"/>
    <w:next w:val="CommentText"/>
    <w:link w:val="CommentSubjectChar"/>
    <w:rsid w:val="004B0EC6"/>
    <w:rPr>
      <w:b/>
      <w:bCs/>
    </w:rPr>
  </w:style>
  <w:style w:type="character" w:customStyle="1" w:styleId="CommentSubjectChar">
    <w:name w:val="Comment Subject Char"/>
    <w:basedOn w:val="CommentTextChar"/>
    <w:link w:val="CommentSubject"/>
    <w:rsid w:val="004B0EC6"/>
    <w:rPr>
      <w:rFonts w:ascii="Arial" w:hAnsi="Arial"/>
      <w:b/>
      <w:bCs/>
      <w:lang w:eastAsia="en-US"/>
    </w:rPr>
  </w:style>
  <w:style w:type="paragraph" w:styleId="NormalWeb">
    <w:name w:val="Normal (Web)"/>
    <w:basedOn w:val="Normal"/>
    <w:semiHidden/>
    <w:unhideWhenUsed/>
    <w:rsid w:val="001F576A"/>
    <w:rPr>
      <w:rFonts w:ascii="Times New Roman" w:hAnsi="Times New Roman"/>
      <w:szCs w:val="24"/>
    </w:rPr>
  </w:style>
  <w:style w:type="paragraph" w:styleId="Revision">
    <w:name w:val="Revision"/>
    <w:hidden/>
    <w:uiPriority w:val="99"/>
    <w:semiHidden/>
    <w:rsid w:val="0045177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877">
      <w:bodyDiv w:val="1"/>
      <w:marLeft w:val="0"/>
      <w:marRight w:val="0"/>
      <w:marTop w:val="0"/>
      <w:marBottom w:val="0"/>
      <w:divBdr>
        <w:top w:val="none" w:sz="0" w:space="0" w:color="auto"/>
        <w:left w:val="none" w:sz="0" w:space="0" w:color="auto"/>
        <w:bottom w:val="none" w:sz="0" w:space="0" w:color="auto"/>
        <w:right w:val="none" w:sz="0" w:space="0" w:color="auto"/>
      </w:divBdr>
    </w:div>
    <w:div w:id="47387431">
      <w:bodyDiv w:val="1"/>
      <w:marLeft w:val="0"/>
      <w:marRight w:val="0"/>
      <w:marTop w:val="0"/>
      <w:marBottom w:val="0"/>
      <w:divBdr>
        <w:top w:val="none" w:sz="0" w:space="0" w:color="auto"/>
        <w:left w:val="none" w:sz="0" w:space="0" w:color="auto"/>
        <w:bottom w:val="none" w:sz="0" w:space="0" w:color="auto"/>
        <w:right w:val="none" w:sz="0" w:space="0" w:color="auto"/>
      </w:divBdr>
    </w:div>
    <w:div w:id="99499330">
      <w:bodyDiv w:val="1"/>
      <w:marLeft w:val="0"/>
      <w:marRight w:val="0"/>
      <w:marTop w:val="0"/>
      <w:marBottom w:val="0"/>
      <w:divBdr>
        <w:top w:val="none" w:sz="0" w:space="0" w:color="auto"/>
        <w:left w:val="none" w:sz="0" w:space="0" w:color="auto"/>
        <w:bottom w:val="none" w:sz="0" w:space="0" w:color="auto"/>
        <w:right w:val="none" w:sz="0" w:space="0" w:color="auto"/>
      </w:divBdr>
    </w:div>
    <w:div w:id="142281817">
      <w:bodyDiv w:val="1"/>
      <w:marLeft w:val="0"/>
      <w:marRight w:val="0"/>
      <w:marTop w:val="0"/>
      <w:marBottom w:val="0"/>
      <w:divBdr>
        <w:top w:val="none" w:sz="0" w:space="0" w:color="auto"/>
        <w:left w:val="none" w:sz="0" w:space="0" w:color="auto"/>
        <w:bottom w:val="none" w:sz="0" w:space="0" w:color="auto"/>
        <w:right w:val="none" w:sz="0" w:space="0" w:color="auto"/>
      </w:divBdr>
    </w:div>
    <w:div w:id="239684600">
      <w:bodyDiv w:val="1"/>
      <w:marLeft w:val="0"/>
      <w:marRight w:val="0"/>
      <w:marTop w:val="0"/>
      <w:marBottom w:val="0"/>
      <w:divBdr>
        <w:top w:val="none" w:sz="0" w:space="0" w:color="auto"/>
        <w:left w:val="none" w:sz="0" w:space="0" w:color="auto"/>
        <w:bottom w:val="none" w:sz="0" w:space="0" w:color="auto"/>
        <w:right w:val="none" w:sz="0" w:space="0" w:color="auto"/>
      </w:divBdr>
    </w:div>
    <w:div w:id="248778075">
      <w:bodyDiv w:val="1"/>
      <w:marLeft w:val="0"/>
      <w:marRight w:val="0"/>
      <w:marTop w:val="0"/>
      <w:marBottom w:val="0"/>
      <w:divBdr>
        <w:top w:val="none" w:sz="0" w:space="0" w:color="auto"/>
        <w:left w:val="none" w:sz="0" w:space="0" w:color="auto"/>
        <w:bottom w:val="none" w:sz="0" w:space="0" w:color="auto"/>
        <w:right w:val="none" w:sz="0" w:space="0" w:color="auto"/>
      </w:divBdr>
    </w:div>
    <w:div w:id="343359637">
      <w:bodyDiv w:val="1"/>
      <w:marLeft w:val="0"/>
      <w:marRight w:val="0"/>
      <w:marTop w:val="0"/>
      <w:marBottom w:val="0"/>
      <w:divBdr>
        <w:top w:val="none" w:sz="0" w:space="0" w:color="auto"/>
        <w:left w:val="none" w:sz="0" w:space="0" w:color="auto"/>
        <w:bottom w:val="none" w:sz="0" w:space="0" w:color="auto"/>
        <w:right w:val="none" w:sz="0" w:space="0" w:color="auto"/>
      </w:divBdr>
    </w:div>
    <w:div w:id="344744712">
      <w:bodyDiv w:val="1"/>
      <w:marLeft w:val="0"/>
      <w:marRight w:val="0"/>
      <w:marTop w:val="0"/>
      <w:marBottom w:val="0"/>
      <w:divBdr>
        <w:top w:val="none" w:sz="0" w:space="0" w:color="auto"/>
        <w:left w:val="none" w:sz="0" w:space="0" w:color="auto"/>
        <w:bottom w:val="none" w:sz="0" w:space="0" w:color="auto"/>
        <w:right w:val="none" w:sz="0" w:space="0" w:color="auto"/>
      </w:divBdr>
    </w:div>
    <w:div w:id="415827031">
      <w:bodyDiv w:val="1"/>
      <w:marLeft w:val="0"/>
      <w:marRight w:val="0"/>
      <w:marTop w:val="0"/>
      <w:marBottom w:val="0"/>
      <w:divBdr>
        <w:top w:val="none" w:sz="0" w:space="0" w:color="auto"/>
        <w:left w:val="none" w:sz="0" w:space="0" w:color="auto"/>
        <w:bottom w:val="none" w:sz="0" w:space="0" w:color="auto"/>
        <w:right w:val="none" w:sz="0" w:space="0" w:color="auto"/>
      </w:divBdr>
    </w:div>
    <w:div w:id="450586967">
      <w:bodyDiv w:val="1"/>
      <w:marLeft w:val="0"/>
      <w:marRight w:val="0"/>
      <w:marTop w:val="0"/>
      <w:marBottom w:val="0"/>
      <w:divBdr>
        <w:top w:val="none" w:sz="0" w:space="0" w:color="auto"/>
        <w:left w:val="none" w:sz="0" w:space="0" w:color="auto"/>
        <w:bottom w:val="none" w:sz="0" w:space="0" w:color="auto"/>
        <w:right w:val="none" w:sz="0" w:space="0" w:color="auto"/>
      </w:divBdr>
      <w:divsChild>
        <w:div w:id="1211116040">
          <w:marLeft w:val="0"/>
          <w:marRight w:val="0"/>
          <w:marTop w:val="0"/>
          <w:marBottom w:val="0"/>
          <w:divBdr>
            <w:top w:val="none" w:sz="0" w:space="0" w:color="auto"/>
            <w:left w:val="none" w:sz="0" w:space="0" w:color="auto"/>
            <w:bottom w:val="none" w:sz="0" w:space="0" w:color="auto"/>
            <w:right w:val="none" w:sz="0" w:space="0" w:color="auto"/>
          </w:divBdr>
          <w:divsChild>
            <w:div w:id="624770681">
              <w:marLeft w:val="0"/>
              <w:marRight w:val="0"/>
              <w:marTop w:val="0"/>
              <w:marBottom w:val="0"/>
              <w:divBdr>
                <w:top w:val="none" w:sz="0" w:space="0" w:color="auto"/>
                <w:left w:val="none" w:sz="0" w:space="0" w:color="auto"/>
                <w:bottom w:val="none" w:sz="0" w:space="0" w:color="auto"/>
                <w:right w:val="none" w:sz="0" w:space="0" w:color="auto"/>
              </w:divBdr>
              <w:divsChild>
                <w:div w:id="18931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6414">
      <w:bodyDiv w:val="1"/>
      <w:marLeft w:val="0"/>
      <w:marRight w:val="0"/>
      <w:marTop w:val="0"/>
      <w:marBottom w:val="0"/>
      <w:divBdr>
        <w:top w:val="none" w:sz="0" w:space="0" w:color="auto"/>
        <w:left w:val="none" w:sz="0" w:space="0" w:color="auto"/>
        <w:bottom w:val="none" w:sz="0" w:space="0" w:color="auto"/>
        <w:right w:val="none" w:sz="0" w:space="0" w:color="auto"/>
      </w:divBdr>
    </w:div>
    <w:div w:id="453794860">
      <w:bodyDiv w:val="1"/>
      <w:marLeft w:val="0"/>
      <w:marRight w:val="0"/>
      <w:marTop w:val="0"/>
      <w:marBottom w:val="0"/>
      <w:divBdr>
        <w:top w:val="none" w:sz="0" w:space="0" w:color="auto"/>
        <w:left w:val="none" w:sz="0" w:space="0" w:color="auto"/>
        <w:bottom w:val="none" w:sz="0" w:space="0" w:color="auto"/>
        <w:right w:val="none" w:sz="0" w:space="0" w:color="auto"/>
      </w:divBdr>
    </w:div>
    <w:div w:id="474568339">
      <w:bodyDiv w:val="1"/>
      <w:marLeft w:val="0"/>
      <w:marRight w:val="0"/>
      <w:marTop w:val="0"/>
      <w:marBottom w:val="0"/>
      <w:divBdr>
        <w:top w:val="none" w:sz="0" w:space="0" w:color="auto"/>
        <w:left w:val="none" w:sz="0" w:space="0" w:color="auto"/>
        <w:bottom w:val="none" w:sz="0" w:space="0" w:color="auto"/>
        <w:right w:val="none" w:sz="0" w:space="0" w:color="auto"/>
      </w:divBdr>
    </w:div>
    <w:div w:id="536045296">
      <w:bodyDiv w:val="1"/>
      <w:marLeft w:val="0"/>
      <w:marRight w:val="0"/>
      <w:marTop w:val="0"/>
      <w:marBottom w:val="0"/>
      <w:divBdr>
        <w:top w:val="none" w:sz="0" w:space="0" w:color="auto"/>
        <w:left w:val="none" w:sz="0" w:space="0" w:color="auto"/>
        <w:bottom w:val="none" w:sz="0" w:space="0" w:color="auto"/>
        <w:right w:val="none" w:sz="0" w:space="0" w:color="auto"/>
      </w:divBdr>
    </w:div>
    <w:div w:id="669211285">
      <w:bodyDiv w:val="1"/>
      <w:marLeft w:val="0"/>
      <w:marRight w:val="0"/>
      <w:marTop w:val="0"/>
      <w:marBottom w:val="0"/>
      <w:divBdr>
        <w:top w:val="none" w:sz="0" w:space="0" w:color="auto"/>
        <w:left w:val="none" w:sz="0" w:space="0" w:color="auto"/>
        <w:bottom w:val="none" w:sz="0" w:space="0" w:color="auto"/>
        <w:right w:val="none" w:sz="0" w:space="0" w:color="auto"/>
      </w:divBdr>
    </w:div>
    <w:div w:id="669598324">
      <w:bodyDiv w:val="1"/>
      <w:marLeft w:val="0"/>
      <w:marRight w:val="0"/>
      <w:marTop w:val="0"/>
      <w:marBottom w:val="0"/>
      <w:divBdr>
        <w:top w:val="none" w:sz="0" w:space="0" w:color="auto"/>
        <w:left w:val="none" w:sz="0" w:space="0" w:color="auto"/>
        <w:bottom w:val="none" w:sz="0" w:space="0" w:color="auto"/>
        <w:right w:val="none" w:sz="0" w:space="0" w:color="auto"/>
      </w:divBdr>
    </w:div>
    <w:div w:id="672345154">
      <w:bodyDiv w:val="1"/>
      <w:marLeft w:val="0"/>
      <w:marRight w:val="0"/>
      <w:marTop w:val="0"/>
      <w:marBottom w:val="0"/>
      <w:divBdr>
        <w:top w:val="none" w:sz="0" w:space="0" w:color="auto"/>
        <w:left w:val="none" w:sz="0" w:space="0" w:color="auto"/>
        <w:bottom w:val="none" w:sz="0" w:space="0" w:color="auto"/>
        <w:right w:val="none" w:sz="0" w:space="0" w:color="auto"/>
      </w:divBdr>
    </w:div>
    <w:div w:id="700784739">
      <w:bodyDiv w:val="1"/>
      <w:marLeft w:val="0"/>
      <w:marRight w:val="0"/>
      <w:marTop w:val="0"/>
      <w:marBottom w:val="0"/>
      <w:divBdr>
        <w:top w:val="none" w:sz="0" w:space="0" w:color="auto"/>
        <w:left w:val="none" w:sz="0" w:space="0" w:color="auto"/>
        <w:bottom w:val="none" w:sz="0" w:space="0" w:color="auto"/>
        <w:right w:val="none" w:sz="0" w:space="0" w:color="auto"/>
      </w:divBdr>
    </w:div>
    <w:div w:id="780496661">
      <w:bodyDiv w:val="1"/>
      <w:marLeft w:val="0"/>
      <w:marRight w:val="0"/>
      <w:marTop w:val="0"/>
      <w:marBottom w:val="0"/>
      <w:divBdr>
        <w:top w:val="none" w:sz="0" w:space="0" w:color="auto"/>
        <w:left w:val="none" w:sz="0" w:space="0" w:color="auto"/>
        <w:bottom w:val="none" w:sz="0" w:space="0" w:color="auto"/>
        <w:right w:val="none" w:sz="0" w:space="0" w:color="auto"/>
      </w:divBdr>
    </w:div>
    <w:div w:id="780540111">
      <w:bodyDiv w:val="1"/>
      <w:marLeft w:val="0"/>
      <w:marRight w:val="0"/>
      <w:marTop w:val="0"/>
      <w:marBottom w:val="0"/>
      <w:divBdr>
        <w:top w:val="none" w:sz="0" w:space="0" w:color="auto"/>
        <w:left w:val="none" w:sz="0" w:space="0" w:color="auto"/>
        <w:bottom w:val="none" w:sz="0" w:space="0" w:color="auto"/>
        <w:right w:val="none" w:sz="0" w:space="0" w:color="auto"/>
      </w:divBdr>
    </w:div>
    <w:div w:id="787159363">
      <w:bodyDiv w:val="1"/>
      <w:marLeft w:val="0"/>
      <w:marRight w:val="0"/>
      <w:marTop w:val="0"/>
      <w:marBottom w:val="0"/>
      <w:divBdr>
        <w:top w:val="none" w:sz="0" w:space="0" w:color="auto"/>
        <w:left w:val="none" w:sz="0" w:space="0" w:color="auto"/>
        <w:bottom w:val="none" w:sz="0" w:space="0" w:color="auto"/>
        <w:right w:val="none" w:sz="0" w:space="0" w:color="auto"/>
      </w:divBdr>
    </w:div>
    <w:div w:id="791441576">
      <w:bodyDiv w:val="1"/>
      <w:marLeft w:val="0"/>
      <w:marRight w:val="0"/>
      <w:marTop w:val="0"/>
      <w:marBottom w:val="0"/>
      <w:divBdr>
        <w:top w:val="none" w:sz="0" w:space="0" w:color="auto"/>
        <w:left w:val="none" w:sz="0" w:space="0" w:color="auto"/>
        <w:bottom w:val="none" w:sz="0" w:space="0" w:color="auto"/>
        <w:right w:val="none" w:sz="0" w:space="0" w:color="auto"/>
      </w:divBdr>
    </w:div>
    <w:div w:id="791901896">
      <w:bodyDiv w:val="1"/>
      <w:marLeft w:val="0"/>
      <w:marRight w:val="0"/>
      <w:marTop w:val="0"/>
      <w:marBottom w:val="0"/>
      <w:divBdr>
        <w:top w:val="none" w:sz="0" w:space="0" w:color="auto"/>
        <w:left w:val="none" w:sz="0" w:space="0" w:color="auto"/>
        <w:bottom w:val="none" w:sz="0" w:space="0" w:color="auto"/>
        <w:right w:val="none" w:sz="0" w:space="0" w:color="auto"/>
      </w:divBdr>
    </w:div>
    <w:div w:id="863132096">
      <w:bodyDiv w:val="1"/>
      <w:marLeft w:val="0"/>
      <w:marRight w:val="0"/>
      <w:marTop w:val="0"/>
      <w:marBottom w:val="0"/>
      <w:divBdr>
        <w:top w:val="none" w:sz="0" w:space="0" w:color="auto"/>
        <w:left w:val="none" w:sz="0" w:space="0" w:color="auto"/>
        <w:bottom w:val="none" w:sz="0" w:space="0" w:color="auto"/>
        <w:right w:val="none" w:sz="0" w:space="0" w:color="auto"/>
      </w:divBdr>
    </w:div>
    <w:div w:id="1012413597">
      <w:bodyDiv w:val="1"/>
      <w:marLeft w:val="0"/>
      <w:marRight w:val="0"/>
      <w:marTop w:val="0"/>
      <w:marBottom w:val="0"/>
      <w:divBdr>
        <w:top w:val="none" w:sz="0" w:space="0" w:color="auto"/>
        <w:left w:val="none" w:sz="0" w:space="0" w:color="auto"/>
        <w:bottom w:val="none" w:sz="0" w:space="0" w:color="auto"/>
        <w:right w:val="none" w:sz="0" w:space="0" w:color="auto"/>
      </w:divBdr>
    </w:div>
    <w:div w:id="1014306848">
      <w:bodyDiv w:val="1"/>
      <w:marLeft w:val="0"/>
      <w:marRight w:val="0"/>
      <w:marTop w:val="0"/>
      <w:marBottom w:val="0"/>
      <w:divBdr>
        <w:top w:val="none" w:sz="0" w:space="0" w:color="auto"/>
        <w:left w:val="none" w:sz="0" w:space="0" w:color="auto"/>
        <w:bottom w:val="none" w:sz="0" w:space="0" w:color="auto"/>
        <w:right w:val="none" w:sz="0" w:space="0" w:color="auto"/>
      </w:divBdr>
      <w:divsChild>
        <w:div w:id="396436971">
          <w:marLeft w:val="0"/>
          <w:marRight w:val="0"/>
          <w:marTop w:val="0"/>
          <w:marBottom w:val="0"/>
          <w:divBdr>
            <w:top w:val="none" w:sz="0" w:space="0" w:color="auto"/>
            <w:left w:val="none" w:sz="0" w:space="0" w:color="auto"/>
            <w:bottom w:val="none" w:sz="0" w:space="0" w:color="auto"/>
            <w:right w:val="none" w:sz="0" w:space="0" w:color="auto"/>
          </w:divBdr>
          <w:divsChild>
            <w:div w:id="925647704">
              <w:marLeft w:val="0"/>
              <w:marRight w:val="0"/>
              <w:marTop w:val="0"/>
              <w:marBottom w:val="0"/>
              <w:divBdr>
                <w:top w:val="none" w:sz="0" w:space="0" w:color="auto"/>
                <w:left w:val="none" w:sz="0" w:space="0" w:color="auto"/>
                <w:bottom w:val="none" w:sz="0" w:space="0" w:color="auto"/>
                <w:right w:val="none" w:sz="0" w:space="0" w:color="auto"/>
              </w:divBdr>
              <w:divsChild>
                <w:div w:id="1012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4971">
      <w:bodyDiv w:val="1"/>
      <w:marLeft w:val="0"/>
      <w:marRight w:val="0"/>
      <w:marTop w:val="0"/>
      <w:marBottom w:val="0"/>
      <w:divBdr>
        <w:top w:val="none" w:sz="0" w:space="0" w:color="auto"/>
        <w:left w:val="none" w:sz="0" w:space="0" w:color="auto"/>
        <w:bottom w:val="none" w:sz="0" w:space="0" w:color="auto"/>
        <w:right w:val="none" w:sz="0" w:space="0" w:color="auto"/>
      </w:divBdr>
    </w:div>
    <w:div w:id="1112745016">
      <w:bodyDiv w:val="1"/>
      <w:marLeft w:val="0"/>
      <w:marRight w:val="0"/>
      <w:marTop w:val="0"/>
      <w:marBottom w:val="0"/>
      <w:divBdr>
        <w:top w:val="none" w:sz="0" w:space="0" w:color="auto"/>
        <w:left w:val="none" w:sz="0" w:space="0" w:color="auto"/>
        <w:bottom w:val="none" w:sz="0" w:space="0" w:color="auto"/>
        <w:right w:val="none" w:sz="0" w:space="0" w:color="auto"/>
      </w:divBdr>
    </w:div>
    <w:div w:id="1170215196">
      <w:bodyDiv w:val="1"/>
      <w:marLeft w:val="0"/>
      <w:marRight w:val="0"/>
      <w:marTop w:val="0"/>
      <w:marBottom w:val="0"/>
      <w:divBdr>
        <w:top w:val="none" w:sz="0" w:space="0" w:color="auto"/>
        <w:left w:val="none" w:sz="0" w:space="0" w:color="auto"/>
        <w:bottom w:val="none" w:sz="0" w:space="0" w:color="auto"/>
        <w:right w:val="none" w:sz="0" w:space="0" w:color="auto"/>
      </w:divBdr>
    </w:div>
    <w:div w:id="1172649093">
      <w:bodyDiv w:val="1"/>
      <w:marLeft w:val="0"/>
      <w:marRight w:val="0"/>
      <w:marTop w:val="0"/>
      <w:marBottom w:val="0"/>
      <w:divBdr>
        <w:top w:val="none" w:sz="0" w:space="0" w:color="auto"/>
        <w:left w:val="none" w:sz="0" w:space="0" w:color="auto"/>
        <w:bottom w:val="none" w:sz="0" w:space="0" w:color="auto"/>
        <w:right w:val="none" w:sz="0" w:space="0" w:color="auto"/>
      </w:divBdr>
    </w:div>
    <w:div w:id="1175269800">
      <w:bodyDiv w:val="1"/>
      <w:marLeft w:val="0"/>
      <w:marRight w:val="0"/>
      <w:marTop w:val="0"/>
      <w:marBottom w:val="0"/>
      <w:divBdr>
        <w:top w:val="none" w:sz="0" w:space="0" w:color="auto"/>
        <w:left w:val="none" w:sz="0" w:space="0" w:color="auto"/>
        <w:bottom w:val="none" w:sz="0" w:space="0" w:color="auto"/>
        <w:right w:val="none" w:sz="0" w:space="0" w:color="auto"/>
      </w:divBdr>
    </w:div>
    <w:div w:id="1207568540">
      <w:bodyDiv w:val="1"/>
      <w:marLeft w:val="0"/>
      <w:marRight w:val="0"/>
      <w:marTop w:val="0"/>
      <w:marBottom w:val="0"/>
      <w:divBdr>
        <w:top w:val="none" w:sz="0" w:space="0" w:color="auto"/>
        <w:left w:val="none" w:sz="0" w:space="0" w:color="auto"/>
        <w:bottom w:val="none" w:sz="0" w:space="0" w:color="auto"/>
        <w:right w:val="none" w:sz="0" w:space="0" w:color="auto"/>
      </w:divBdr>
    </w:div>
    <w:div w:id="1363823574">
      <w:bodyDiv w:val="1"/>
      <w:marLeft w:val="0"/>
      <w:marRight w:val="0"/>
      <w:marTop w:val="0"/>
      <w:marBottom w:val="0"/>
      <w:divBdr>
        <w:top w:val="none" w:sz="0" w:space="0" w:color="auto"/>
        <w:left w:val="none" w:sz="0" w:space="0" w:color="auto"/>
        <w:bottom w:val="none" w:sz="0" w:space="0" w:color="auto"/>
        <w:right w:val="none" w:sz="0" w:space="0" w:color="auto"/>
      </w:divBdr>
    </w:div>
    <w:div w:id="1390226826">
      <w:bodyDiv w:val="1"/>
      <w:marLeft w:val="0"/>
      <w:marRight w:val="0"/>
      <w:marTop w:val="0"/>
      <w:marBottom w:val="0"/>
      <w:divBdr>
        <w:top w:val="none" w:sz="0" w:space="0" w:color="auto"/>
        <w:left w:val="none" w:sz="0" w:space="0" w:color="auto"/>
        <w:bottom w:val="none" w:sz="0" w:space="0" w:color="auto"/>
        <w:right w:val="none" w:sz="0" w:space="0" w:color="auto"/>
      </w:divBdr>
    </w:div>
    <w:div w:id="1391923858">
      <w:bodyDiv w:val="1"/>
      <w:marLeft w:val="0"/>
      <w:marRight w:val="0"/>
      <w:marTop w:val="0"/>
      <w:marBottom w:val="0"/>
      <w:divBdr>
        <w:top w:val="none" w:sz="0" w:space="0" w:color="auto"/>
        <w:left w:val="none" w:sz="0" w:space="0" w:color="auto"/>
        <w:bottom w:val="none" w:sz="0" w:space="0" w:color="auto"/>
        <w:right w:val="none" w:sz="0" w:space="0" w:color="auto"/>
      </w:divBdr>
    </w:div>
    <w:div w:id="1420559492">
      <w:bodyDiv w:val="1"/>
      <w:marLeft w:val="0"/>
      <w:marRight w:val="0"/>
      <w:marTop w:val="0"/>
      <w:marBottom w:val="0"/>
      <w:divBdr>
        <w:top w:val="none" w:sz="0" w:space="0" w:color="auto"/>
        <w:left w:val="none" w:sz="0" w:space="0" w:color="auto"/>
        <w:bottom w:val="none" w:sz="0" w:space="0" w:color="auto"/>
        <w:right w:val="none" w:sz="0" w:space="0" w:color="auto"/>
      </w:divBdr>
    </w:div>
    <w:div w:id="1437869511">
      <w:bodyDiv w:val="1"/>
      <w:marLeft w:val="0"/>
      <w:marRight w:val="0"/>
      <w:marTop w:val="0"/>
      <w:marBottom w:val="0"/>
      <w:divBdr>
        <w:top w:val="none" w:sz="0" w:space="0" w:color="auto"/>
        <w:left w:val="none" w:sz="0" w:space="0" w:color="auto"/>
        <w:bottom w:val="none" w:sz="0" w:space="0" w:color="auto"/>
        <w:right w:val="none" w:sz="0" w:space="0" w:color="auto"/>
      </w:divBdr>
    </w:div>
    <w:div w:id="1442185635">
      <w:bodyDiv w:val="1"/>
      <w:marLeft w:val="0"/>
      <w:marRight w:val="0"/>
      <w:marTop w:val="0"/>
      <w:marBottom w:val="0"/>
      <w:divBdr>
        <w:top w:val="none" w:sz="0" w:space="0" w:color="auto"/>
        <w:left w:val="none" w:sz="0" w:space="0" w:color="auto"/>
        <w:bottom w:val="none" w:sz="0" w:space="0" w:color="auto"/>
        <w:right w:val="none" w:sz="0" w:space="0" w:color="auto"/>
      </w:divBdr>
    </w:div>
    <w:div w:id="1442798158">
      <w:bodyDiv w:val="1"/>
      <w:marLeft w:val="0"/>
      <w:marRight w:val="0"/>
      <w:marTop w:val="0"/>
      <w:marBottom w:val="0"/>
      <w:divBdr>
        <w:top w:val="none" w:sz="0" w:space="0" w:color="auto"/>
        <w:left w:val="none" w:sz="0" w:space="0" w:color="auto"/>
        <w:bottom w:val="none" w:sz="0" w:space="0" w:color="auto"/>
        <w:right w:val="none" w:sz="0" w:space="0" w:color="auto"/>
      </w:divBdr>
    </w:div>
    <w:div w:id="1449854267">
      <w:bodyDiv w:val="1"/>
      <w:marLeft w:val="0"/>
      <w:marRight w:val="0"/>
      <w:marTop w:val="0"/>
      <w:marBottom w:val="0"/>
      <w:divBdr>
        <w:top w:val="none" w:sz="0" w:space="0" w:color="auto"/>
        <w:left w:val="none" w:sz="0" w:space="0" w:color="auto"/>
        <w:bottom w:val="none" w:sz="0" w:space="0" w:color="auto"/>
        <w:right w:val="none" w:sz="0" w:space="0" w:color="auto"/>
      </w:divBdr>
    </w:div>
    <w:div w:id="1460226220">
      <w:bodyDiv w:val="1"/>
      <w:marLeft w:val="0"/>
      <w:marRight w:val="0"/>
      <w:marTop w:val="0"/>
      <w:marBottom w:val="0"/>
      <w:divBdr>
        <w:top w:val="none" w:sz="0" w:space="0" w:color="auto"/>
        <w:left w:val="none" w:sz="0" w:space="0" w:color="auto"/>
        <w:bottom w:val="none" w:sz="0" w:space="0" w:color="auto"/>
        <w:right w:val="none" w:sz="0" w:space="0" w:color="auto"/>
      </w:divBdr>
    </w:div>
    <w:div w:id="1460494805">
      <w:bodyDiv w:val="1"/>
      <w:marLeft w:val="0"/>
      <w:marRight w:val="0"/>
      <w:marTop w:val="0"/>
      <w:marBottom w:val="0"/>
      <w:divBdr>
        <w:top w:val="none" w:sz="0" w:space="0" w:color="auto"/>
        <w:left w:val="none" w:sz="0" w:space="0" w:color="auto"/>
        <w:bottom w:val="none" w:sz="0" w:space="0" w:color="auto"/>
        <w:right w:val="none" w:sz="0" w:space="0" w:color="auto"/>
      </w:divBdr>
    </w:div>
    <w:div w:id="1570336603">
      <w:bodyDiv w:val="1"/>
      <w:marLeft w:val="0"/>
      <w:marRight w:val="0"/>
      <w:marTop w:val="0"/>
      <w:marBottom w:val="0"/>
      <w:divBdr>
        <w:top w:val="none" w:sz="0" w:space="0" w:color="auto"/>
        <w:left w:val="none" w:sz="0" w:space="0" w:color="auto"/>
        <w:bottom w:val="none" w:sz="0" w:space="0" w:color="auto"/>
        <w:right w:val="none" w:sz="0" w:space="0" w:color="auto"/>
      </w:divBdr>
    </w:div>
    <w:div w:id="1570534998">
      <w:bodyDiv w:val="1"/>
      <w:marLeft w:val="0"/>
      <w:marRight w:val="0"/>
      <w:marTop w:val="0"/>
      <w:marBottom w:val="0"/>
      <w:divBdr>
        <w:top w:val="none" w:sz="0" w:space="0" w:color="auto"/>
        <w:left w:val="none" w:sz="0" w:space="0" w:color="auto"/>
        <w:bottom w:val="none" w:sz="0" w:space="0" w:color="auto"/>
        <w:right w:val="none" w:sz="0" w:space="0" w:color="auto"/>
      </w:divBdr>
    </w:div>
    <w:div w:id="1705323630">
      <w:bodyDiv w:val="1"/>
      <w:marLeft w:val="0"/>
      <w:marRight w:val="0"/>
      <w:marTop w:val="0"/>
      <w:marBottom w:val="0"/>
      <w:divBdr>
        <w:top w:val="none" w:sz="0" w:space="0" w:color="auto"/>
        <w:left w:val="none" w:sz="0" w:space="0" w:color="auto"/>
        <w:bottom w:val="none" w:sz="0" w:space="0" w:color="auto"/>
        <w:right w:val="none" w:sz="0" w:space="0" w:color="auto"/>
      </w:divBdr>
    </w:div>
    <w:div w:id="1716392679">
      <w:bodyDiv w:val="1"/>
      <w:marLeft w:val="0"/>
      <w:marRight w:val="0"/>
      <w:marTop w:val="0"/>
      <w:marBottom w:val="0"/>
      <w:divBdr>
        <w:top w:val="none" w:sz="0" w:space="0" w:color="auto"/>
        <w:left w:val="none" w:sz="0" w:space="0" w:color="auto"/>
        <w:bottom w:val="none" w:sz="0" w:space="0" w:color="auto"/>
        <w:right w:val="none" w:sz="0" w:space="0" w:color="auto"/>
      </w:divBdr>
    </w:div>
    <w:div w:id="1777599185">
      <w:bodyDiv w:val="1"/>
      <w:marLeft w:val="0"/>
      <w:marRight w:val="0"/>
      <w:marTop w:val="0"/>
      <w:marBottom w:val="0"/>
      <w:divBdr>
        <w:top w:val="none" w:sz="0" w:space="0" w:color="auto"/>
        <w:left w:val="none" w:sz="0" w:space="0" w:color="auto"/>
        <w:bottom w:val="none" w:sz="0" w:space="0" w:color="auto"/>
        <w:right w:val="none" w:sz="0" w:space="0" w:color="auto"/>
      </w:divBdr>
      <w:divsChild>
        <w:div w:id="991448589">
          <w:marLeft w:val="0"/>
          <w:marRight w:val="0"/>
          <w:marTop w:val="0"/>
          <w:marBottom w:val="0"/>
          <w:divBdr>
            <w:top w:val="none" w:sz="0" w:space="0" w:color="auto"/>
            <w:left w:val="none" w:sz="0" w:space="0" w:color="auto"/>
            <w:bottom w:val="none" w:sz="0" w:space="0" w:color="auto"/>
            <w:right w:val="none" w:sz="0" w:space="0" w:color="auto"/>
          </w:divBdr>
          <w:divsChild>
            <w:div w:id="484317714">
              <w:marLeft w:val="0"/>
              <w:marRight w:val="0"/>
              <w:marTop w:val="0"/>
              <w:marBottom w:val="0"/>
              <w:divBdr>
                <w:top w:val="none" w:sz="0" w:space="0" w:color="auto"/>
                <w:left w:val="none" w:sz="0" w:space="0" w:color="auto"/>
                <w:bottom w:val="none" w:sz="0" w:space="0" w:color="auto"/>
                <w:right w:val="none" w:sz="0" w:space="0" w:color="auto"/>
              </w:divBdr>
              <w:divsChild>
                <w:div w:id="14401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7345">
      <w:bodyDiv w:val="1"/>
      <w:marLeft w:val="0"/>
      <w:marRight w:val="0"/>
      <w:marTop w:val="0"/>
      <w:marBottom w:val="0"/>
      <w:divBdr>
        <w:top w:val="none" w:sz="0" w:space="0" w:color="auto"/>
        <w:left w:val="none" w:sz="0" w:space="0" w:color="auto"/>
        <w:bottom w:val="none" w:sz="0" w:space="0" w:color="auto"/>
        <w:right w:val="none" w:sz="0" w:space="0" w:color="auto"/>
      </w:divBdr>
    </w:div>
    <w:div w:id="1859586449">
      <w:bodyDiv w:val="1"/>
      <w:marLeft w:val="0"/>
      <w:marRight w:val="0"/>
      <w:marTop w:val="0"/>
      <w:marBottom w:val="0"/>
      <w:divBdr>
        <w:top w:val="none" w:sz="0" w:space="0" w:color="auto"/>
        <w:left w:val="none" w:sz="0" w:space="0" w:color="auto"/>
        <w:bottom w:val="none" w:sz="0" w:space="0" w:color="auto"/>
        <w:right w:val="none" w:sz="0" w:space="0" w:color="auto"/>
      </w:divBdr>
    </w:div>
    <w:div w:id="1911236240">
      <w:bodyDiv w:val="1"/>
      <w:marLeft w:val="0"/>
      <w:marRight w:val="0"/>
      <w:marTop w:val="0"/>
      <w:marBottom w:val="0"/>
      <w:divBdr>
        <w:top w:val="none" w:sz="0" w:space="0" w:color="auto"/>
        <w:left w:val="none" w:sz="0" w:space="0" w:color="auto"/>
        <w:bottom w:val="none" w:sz="0" w:space="0" w:color="auto"/>
        <w:right w:val="none" w:sz="0" w:space="0" w:color="auto"/>
      </w:divBdr>
    </w:div>
    <w:div w:id="1924609174">
      <w:bodyDiv w:val="1"/>
      <w:marLeft w:val="0"/>
      <w:marRight w:val="0"/>
      <w:marTop w:val="0"/>
      <w:marBottom w:val="0"/>
      <w:divBdr>
        <w:top w:val="none" w:sz="0" w:space="0" w:color="auto"/>
        <w:left w:val="none" w:sz="0" w:space="0" w:color="auto"/>
        <w:bottom w:val="none" w:sz="0" w:space="0" w:color="auto"/>
        <w:right w:val="none" w:sz="0" w:space="0" w:color="auto"/>
      </w:divBdr>
    </w:div>
    <w:div w:id="1968125552">
      <w:bodyDiv w:val="1"/>
      <w:marLeft w:val="0"/>
      <w:marRight w:val="0"/>
      <w:marTop w:val="0"/>
      <w:marBottom w:val="0"/>
      <w:divBdr>
        <w:top w:val="none" w:sz="0" w:space="0" w:color="auto"/>
        <w:left w:val="none" w:sz="0" w:space="0" w:color="auto"/>
        <w:bottom w:val="none" w:sz="0" w:space="0" w:color="auto"/>
        <w:right w:val="none" w:sz="0" w:space="0" w:color="auto"/>
      </w:divBdr>
    </w:div>
    <w:div w:id="1979796754">
      <w:bodyDiv w:val="1"/>
      <w:marLeft w:val="0"/>
      <w:marRight w:val="0"/>
      <w:marTop w:val="0"/>
      <w:marBottom w:val="0"/>
      <w:divBdr>
        <w:top w:val="none" w:sz="0" w:space="0" w:color="auto"/>
        <w:left w:val="none" w:sz="0" w:space="0" w:color="auto"/>
        <w:bottom w:val="none" w:sz="0" w:space="0" w:color="auto"/>
        <w:right w:val="none" w:sz="0" w:space="0" w:color="auto"/>
      </w:divBdr>
    </w:div>
    <w:div w:id="1990013699">
      <w:bodyDiv w:val="1"/>
      <w:marLeft w:val="0"/>
      <w:marRight w:val="0"/>
      <w:marTop w:val="0"/>
      <w:marBottom w:val="0"/>
      <w:divBdr>
        <w:top w:val="none" w:sz="0" w:space="0" w:color="auto"/>
        <w:left w:val="none" w:sz="0" w:space="0" w:color="auto"/>
        <w:bottom w:val="none" w:sz="0" w:space="0" w:color="auto"/>
        <w:right w:val="none" w:sz="0" w:space="0" w:color="auto"/>
      </w:divBdr>
    </w:div>
    <w:div w:id="2019774885">
      <w:bodyDiv w:val="1"/>
      <w:marLeft w:val="0"/>
      <w:marRight w:val="0"/>
      <w:marTop w:val="0"/>
      <w:marBottom w:val="0"/>
      <w:divBdr>
        <w:top w:val="none" w:sz="0" w:space="0" w:color="auto"/>
        <w:left w:val="none" w:sz="0" w:space="0" w:color="auto"/>
        <w:bottom w:val="none" w:sz="0" w:space="0" w:color="auto"/>
        <w:right w:val="none" w:sz="0" w:space="0" w:color="auto"/>
      </w:divBdr>
    </w:div>
    <w:div w:id="2072649367">
      <w:bodyDiv w:val="1"/>
      <w:marLeft w:val="0"/>
      <w:marRight w:val="0"/>
      <w:marTop w:val="0"/>
      <w:marBottom w:val="0"/>
      <w:divBdr>
        <w:top w:val="none" w:sz="0" w:space="0" w:color="auto"/>
        <w:left w:val="none" w:sz="0" w:space="0" w:color="auto"/>
        <w:bottom w:val="none" w:sz="0" w:space="0" w:color="auto"/>
        <w:right w:val="none" w:sz="0" w:space="0" w:color="auto"/>
      </w:divBdr>
    </w:div>
    <w:div w:id="2074421830">
      <w:bodyDiv w:val="1"/>
      <w:marLeft w:val="0"/>
      <w:marRight w:val="0"/>
      <w:marTop w:val="0"/>
      <w:marBottom w:val="0"/>
      <w:divBdr>
        <w:top w:val="none" w:sz="0" w:space="0" w:color="auto"/>
        <w:left w:val="none" w:sz="0" w:space="0" w:color="auto"/>
        <w:bottom w:val="none" w:sz="0" w:space="0" w:color="auto"/>
        <w:right w:val="none" w:sz="0" w:space="0" w:color="auto"/>
      </w:divBdr>
    </w:div>
    <w:div w:id="2086294825">
      <w:bodyDiv w:val="1"/>
      <w:marLeft w:val="0"/>
      <w:marRight w:val="0"/>
      <w:marTop w:val="0"/>
      <w:marBottom w:val="0"/>
      <w:divBdr>
        <w:top w:val="none" w:sz="0" w:space="0" w:color="auto"/>
        <w:left w:val="none" w:sz="0" w:space="0" w:color="auto"/>
        <w:bottom w:val="none" w:sz="0" w:space="0" w:color="auto"/>
        <w:right w:val="none" w:sz="0" w:space="0" w:color="auto"/>
      </w:divBdr>
    </w:div>
    <w:div w:id="2097090546">
      <w:bodyDiv w:val="1"/>
      <w:marLeft w:val="0"/>
      <w:marRight w:val="0"/>
      <w:marTop w:val="0"/>
      <w:marBottom w:val="0"/>
      <w:divBdr>
        <w:top w:val="none" w:sz="0" w:space="0" w:color="auto"/>
        <w:left w:val="none" w:sz="0" w:space="0" w:color="auto"/>
        <w:bottom w:val="none" w:sz="0" w:space="0" w:color="auto"/>
        <w:right w:val="none" w:sz="0" w:space="0" w:color="auto"/>
      </w:divBdr>
    </w:div>
    <w:div w:id="2105803676">
      <w:bodyDiv w:val="1"/>
      <w:marLeft w:val="0"/>
      <w:marRight w:val="0"/>
      <w:marTop w:val="0"/>
      <w:marBottom w:val="0"/>
      <w:divBdr>
        <w:top w:val="none" w:sz="0" w:space="0" w:color="auto"/>
        <w:left w:val="none" w:sz="0" w:space="0" w:color="auto"/>
        <w:bottom w:val="none" w:sz="0" w:space="0" w:color="auto"/>
        <w:right w:val="none" w:sz="0" w:space="0" w:color="auto"/>
      </w:divBdr>
    </w:div>
    <w:div w:id="2118483579">
      <w:bodyDiv w:val="1"/>
      <w:marLeft w:val="0"/>
      <w:marRight w:val="0"/>
      <w:marTop w:val="0"/>
      <w:marBottom w:val="0"/>
      <w:divBdr>
        <w:top w:val="none" w:sz="0" w:space="0" w:color="auto"/>
        <w:left w:val="none" w:sz="0" w:space="0" w:color="auto"/>
        <w:bottom w:val="none" w:sz="0" w:space="0" w:color="auto"/>
        <w:right w:val="none" w:sz="0" w:space="0" w:color="auto"/>
      </w:divBdr>
    </w:div>
    <w:div w:id="2140830673">
      <w:bodyDiv w:val="1"/>
      <w:marLeft w:val="0"/>
      <w:marRight w:val="0"/>
      <w:marTop w:val="0"/>
      <w:marBottom w:val="0"/>
      <w:divBdr>
        <w:top w:val="none" w:sz="0" w:space="0" w:color="auto"/>
        <w:left w:val="none" w:sz="0" w:space="0" w:color="auto"/>
        <w:bottom w:val="none" w:sz="0" w:space="0" w:color="auto"/>
        <w:right w:val="none" w:sz="0" w:space="0" w:color="auto"/>
      </w:divBdr>
      <w:divsChild>
        <w:div w:id="16272012">
          <w:marLeft w:val="0"/>
          <w:marRight w:val="0"/>
          <w:marTop w:val="0"/>
          <w:marBottom w:val="0"/>
          <w:divBdr>
            <w:top w:val="none" w:sz="0" w:space="0" w:color="auto"/>
            <w:left w:val="none" w:sz="0" w:space="0" w:color="auto"/>
            <w:bottom w:val="none" w:sz="0" w:space="0" w:color="auto"/>
            <w:right w:val="none" w:sz="0" w:space="0" w:color="auto"/>
          </w:divBdr>
          <w:divsChild>
            <w:div w:id="314451353">
              <w:marLeft w:val="0"/>
              <w:marRight w:val="0"/>
              <w:marTop w:val="0"/>
              <w:marBottom w:val="0"/>
              <w:divBdr>
                <w:top w:val="none" w:sz="0" w:space="0" w:color="auto"/>
                <w:left w:val="none" w:sz="0" w:space="0" w:color="auto"/>
                <w:bottom w:val="none" w:sz="0" w:space="0" w:color="auto"/>
                <w:right w:val="none" w:sz="0" w:space="0" w:color="auto"/>
              </w:divBdr>
              <w:divsChild>
                <w:div w:id="18700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h.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ogle.com/search?q=Data+%28Use+and+Access%29+Act+2025&amp;oq=what+is+the+duaa&amp;gs_lcrp=EgRlZGdlKgYIABBFGDkyBggAEEUYOTIICAEQ6QcY_FUyBwgCEOsHGEDSAQgzNDUyajBqMagCALACAA&amp;sourceid=chrome&amp;ie=UTF-8&amp;mstk=AUtExfCqkeT6-vtETVhv4BMFgE121qBe9wFOhggyhw9cb7jzqz5gOF5CktUcHErRJyZ3k1BTuBU5ObqYaYKAjCcumwVI9n4vZNu_hsH09K3nCjt6tXEFO4hthMDkulMUvunwKdA&amp;csui=3&amp;ved=2ahUKEwiEkJeNqqmSAxV6Q0EAHb0DB1EQgK4QegQIARA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file://secamb.nhs.uk/Departments/Information%20Governance/Surrey/Policies_Procedures/SECAmb%20Draft/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20harper\AppData\Local\Microsoft\Windows\Temporary%20Internet%20Files\Content.IE5\W74O9NAU\Policy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3AF7B-CB6C-48B5-81B2-1BD5EFC7AE5B}">
  <ds:schemaRefs>
    <ds:schemaRef ds:uri="http://schemas.openxmlformats.org/officeDocument/2006/bibliography"/>
  </ds:schemaRefs>
</ds:datastoreItem>
</file>

<file path=customXml/itemProps2.xml><?xml version="1.0" encoding="utf-8"?>
<ds:datastoreItem xmlns:ds="http://schemas.openxmlformats.org/officeDocument/2006/customXml" ds:itemID="{6B185E8D-613B-4702-AF6D-E0E96779F7CD}"/>
</file>

<file path=customXml/itemProps3.xml><?xml version="1.0" encoding="utf-8"?>
<ds:datastoreItem xmlns:ds="http://schemas.openxmlformats.org/officeDocument/2006/customXml" ds:itemID="{99644B9F-EF5A-4750-9CA0-4DA052A5770D}">
  <ds:schemaRefs>
    <ds:schemaRef ds:uri="d660ec31-0c60-482c-b298-c899826a291b"/>
    <ds:schemaRef ds:uri="http://schemas.microsoft.com/office/infopath/2007/PartnerControls"/>
    <ds:schemaRef ds:uri="http://schemas.microsoft.com/office/2006/metadata/properties"/>
    <ds:schemaRef ds:uri="http://purl.org/dc/terms/"/>
    <ds:schemaRef ds:uri="http://schemas.microsoft.com/office/2006/documentManagement/types"/>
    <ds:schemaRef ds:uri="0b0e459f-e013-4618-a992-ef2a5ceba81f"/>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DD4F34C-E4E1-406F-A1D8-26DC760E6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Policy_Template[1]</Template>
  <TotalTime>0</TotalTime>
  <Pages>28</Pages>
  <Words>7040</Words>
  <Characters>39073</Characters>
  <Application>Microsoft Office Word</Application>
  <DocSecurity>0</DocSecurity>
  <Lines>927</Lines>
  <Paragraphs>345</Paragraphs>
  <ScaleCrop>false</ScaleCrop>
  <Company>Surrey Ambulance Service NHS Trust</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Amy Harper</dc:creator>
  <cp:lastModifiedBy>Juliana Umoh</cp:lastModifiedBy>
  <cp:revision>2</cp:revision>
  <cp:lastPrinted>2022-02-16T15:28:00Z</cp:lastPrinted>
  <dcterms:created xsi:type="dcterms:W3CDTF">2026-02-25T11:25:00Z</dcterms:created>
  <dcterms:modified xsi:type="dcterms:W3CDTF">2026-02-25T11:25:00Z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228900</vt:r8>
  </property>
  <property fmtid="{D5CDD505-2E9C-101B-9397-08002B2CF9AE}" pid="3" name="_ExtendedDescription">
    <vt:lpwstr/>
  </property>
  <property fmtid="{D5CDD505-2E9C-101B-9397-08002B2CF9AE}" pid="4" name="MediaServiceImageTags">
    <vt:lpwstr/>
  </property>
  <property fmtid="{D5CDD505-2E9C-101B-9397-08002B2CF9AE}" pid="5" name="ContentTypeId">
    <vt:lpwstr>0x010100E51D3FF2E8B1344E8FCA33E8D6430152</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