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52DC" w14:textId="77777777" w:rsidR="00C7069F" w:rsidRDefault="00C7069F">
      <w:pPr>
        <w:pStyle w:val="Style1"/>
        <w:spacing w:before="240"/>
        <w:outlineLvl w:val="0"/>
        <w:rPr>
          <w:b/>
        </w:rPr>
      </w:pPr>
    </w:p>
    <w:p w14:paraId="4549B144" w14:textId="77777777" w:rsidR="00C7069F" w:rsidRDefault="00C7069F">
      <w:pPr>
        <w:pStyle w:val="Style1"/>
        <w:spacing w:before="240"/>
        <w:outlineLvl w:val="0"/>
        <w:rPr>
          <w:b/>
        </w:rPr>
      </w:pPr>
    </w:p>
    <w:p w14:paraId="37225465" w14:textId="77777777" w:rsidR="00C7069F" w:rsidRDefault="00C7069F">
      <w:pPr>
        <w:pStyle w:val="Style1"/>
        <w:spacing w:before="240"/>
        <w:outlineLvl w:val="0"/>
        <w:rPr>
          <w:b/>
        </w:rPr>
      </w:pPr>
    </w:p>
    <w:p w14:paraId="723A4300" w14:textId="77777777" w:rsidR="00450E83" w:rsidRDefault="00CC106A" w:rsidP="007873D0">
      <w:pPr>
        <w:pStyle w:val="Style1"/>
        <w:jc w:val="center"/>
        <w:rPr>
          <w:b/>
          <w:sz w:val="32"/>
          <w:szCs w:val="32"/>
        </w:rPr>
      </w:pPr>
      <w:r>
        <w:rPr>
          <w:b/>
          <w:sz w:val="32"/>
          <w:szCs w:val="32"/>
        </w:rPr>
        <w:t>Community Falls</w:t>
      </w:r>
      <w:r w:rsidR="00450E83">
        <w:rPr>
          <w:b/>
          <w:sz w:val="32"/>
          <w:szCs w:val="32"/>
        </w:rPr>
        <w:t xml:space="preserve"> (Volunteer Responses)</w:t>
      </w:r>
      <w:r>
        <w:rPr>
          <w:b/>
          <w:sz w:val="32"/>
          <w:szCs w:val="32"/>
        </w:rPr>
        <w:t xml:space="preserve"> </w:t>
      </w:r>
    </w:p>
    <w:p w14:paraId="3B0C869A" w14:textId="60C7F621" w:rsidR="00C7069F" w:rsidRPr="0040381C" w:rsidRDefault="00EC69EF" w:rsidP="007873D0">
      <w:pPr>
        <w:pStyle w:val="Style1"/>
        <w:jc w:val="center"/>
        <w:rPr>
          <w:szCs w:val="32"/>
        </w:rPr>
      </w:pPr>
      <w:r w:rsidRPr="00EC69EF">
        <w:rPr>
          <w:b/>
          <w:sz w:val="32"/>
          <w:szCs w:val="32"/>
        </w:rPr>
        <w:t xml:space="preserve">Policy </w:t>
      </w:r>
      <w:r w:rsidR="00C46D9E">
        <w:rPr>
          <w:b/>
          <w:sz w:val="32"/>
          <w:szCs w:val="32"/>
        </w:rPr>
        <w:t>and Procedure</w:t>
      </w:r>
    </w:p>
    <w:p w14:paraId="6A94889A" w14:textId="77777777" w:rsidR="00FA3B13" w:rsidRPr="0040381C" w:rsidRDefault="00FA3B13" w:rsidP="00521E6C">
      <w:pPr>
        <w:pStyle w:val="Style1"/>
        <w:outlineLvl w:val="0"/>
        <w:rPr>
          <w:szCs w:val="32"/>
        </w:rPr>
      </w:pPr>
    </w:p>
    <w:p w14:paraId="5F4960CC" w14:textId="77777777" w:rsidR="0040381C" w:rsidRDefault="0040381C" w:rsidP="00586457">
      <w:pPr>
        <w:pStyle w:val="Style1"/>
        <w:outlineLvl w:val="0"/>
        <w:rPr>
          <w:szCs w:val="32"/>
        </w:rPr>
      </w:pPr>
    </w:p>
    <w:p w14:paraId="1D135EAF" w14:textId="77777777" w:rsidR="00521E6C" w:rsidRDefault="00521E6C" w:rsidP="00586457">
      <w:pPr>
        <w:pStyle w:val="Style1"/>
        <w:outlineLvl w:val="0"/>
        <w:rPr>
          <w:szCs w:val="32"/>
        </w:rPr>
      </w:pPr>
    </w:p>
    <w:p w14:paraId="0B241A9F" w14:textId="77777777" w:rsidR="00586457" w:rsidRDefault="00586457" w:rsidP="00586457">
      <w:pPr>
        <w:pStyle w:val="Style1"/>
        <w:outlineLvl w:val="0"/>
        <w:rPr>
          <w:szCs w:val="32"/>
        </w:rPr>
      </w:pPr>
    </w:p>
    <w:p w14:paraId="031DFE56" w14:textId="77777777" w:rsidR="00586457" w:rsidRDefault="00586457" w:rsidP="00586457">
      <w:pPr>
        <w:pStyle w:val="Style1"/>
        <w:outlineLvl w:val="0"/>
        <w:rPr>
          <w:szCs w:val="32"/>
        </w:rPr>
      </w:pPr>
    </w:p>
    <w:p w14:paraId="0811DCE7" w14:textId="77777777" w:rsidR="008A62AA" w:rsidRPr="005B4E6A" w:rsidRDefault="008A62AA" w:rsidP="008A62AA">
      <w:pPr>
        <w:keepNext/>
        <w:keepLines/>
        <w:spacing w:after="240"/>
        <w:rPr>
          <w:rFonts w:cs="Arial"/>
        </w:rPr>
      </w:pPr>
      <w:bookmarkStart w:id="0" w:name="_Toc210802532"/>
    </w:p>
    <w:p w14:paraId="305440EB" w14:textId="77777777" w:rsidR="008A62AA" w:rsidRDefault="008A62AA">
      <w:pPr>
        <w:rPr>
          <w:b/>
        </w:rPr>
      </w:pPr>
      <w:r>
        <w:rPr>
          <w:b/>
        </w:rPr>
        <w:br w:type="page"/>
      </w:r>
    </w:p>
    <w:p w14:paraId="2B4B3749" w14:textId="77777777" w:rsidR="0040381C" w:rsidRPr="00A83D9D" w:rsidRDefault="0040381C" w:rsidP="0040381C">
      <w:pPr>
        <w:rPr>
          <w:b/>
        </w:rPr>
      </w:pPr>
      <w:r w:rsidRPr="00A83D9D">
        <w:rPr>
          <w:b/>
        </w:rPr>
        <w:lastRenderedPageBreak/>
        <w:t>Contents</w:t>
      </w:r>
    </w:p>
    <w:p w14:paraId="7F94C308" w14:textId="77777777" w:rsidR="0040381C" w:rsidRPr="00A83D9D" w:rsidRDefault="0040381C" w:rsidP="0040381C">
      <w:pPr>
        <w:rPr>
          <w:b/>
        </w:rPr>
      </w:pPr>
    </w:p>
    <w:p w14:paraId="090B101B" w14:textId="77777777" w:rsidR="0040381C" w:rsidRPr="00392D70" w:rsidRDefault="0040381C" w:rsidP="0040381C">
      <w:pPr>
        <w:rPr>
          <w:b/>
        </w:rPr>
      </w:pPr>
    </w:p>
    <w:p w14:paraId="08759B94" w14:textId="77777777" w:rsidR="00717C97" w:rsidRDefault="0040381C">
      <w:pPr>
        <w:pStyle w:val="TOC1"/>
        <w:rPr>
          <w:rFonts w:asciiTheme="minorHAnsi" w:eastAsiaTheme="minorEastAsia" w:hAnsiTheme="minorHAnsi" w:cstheme="minorBidi"/>
          <w:noProof/>
          <w:sz w:val="22"/>
          <w:szCs w:val="22"/>
          <w:lang w:eastAsia="en-GB"/>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45620357" w:history="1">
        <w:r w:rsidR="00717C97" w:rsidRPr="00F05BCD">
          <w:rPr>
            <w:rStyle w:val="Hyperlink"/>
            <w:rFonts w:cs="Arial"/>
            <w:b/>
            <w:bCs/>
            <w:noProof/>
          </w:rPr>
          <w:t>Document Control</w:t>
        </w:r>
        <w:r w:rsidR="00717C97">
          <w:rPr>
            <w:noProof/>
            <w:webHidden/>
          </w:rPr>
          <w:tab/>
        </w:r>
        <w:r w:rsidR="00717C97">
          <w:rPr>
            <w:noProof/>
            <w:webHidden/>
          </w:rPr>
          <w:fldChar w:fldCharType="begin"/>
        </w:r>
        <w:r w:rsidR="00717C97">
          <w:rPr>
            <w:noProof/>
            <w:webHidden/>
          </w:rPr>
          <w:instrText xml:space="preserve"> PAGEREF _Toc45620357 \h </w:instrText>
        </w:r>
        <w:r w:rsidR="00717C97">
          <w:rPr>
            <w:noProof/>
            <w:webHidden/>
          </w:rPr>
        </w:r>
        <w:r w:rsidR="00717C97">
          <w:rPr>
            <w:noProof/>
            <w:webHidden/>
          </w:rPr>
          <w:fldChar w:fldCharType="separate"/>
        </w:r>
        <w:r w:rsidR="00717C97">
          <w:rPr>
            <w:noProof/>
            <w:webHidden/>
          </w:rPr>
          <w:t>2</w:t>
        </w:r>
        <w:r w:rsidR="00717C97">
          <w:rPr>
            <w:noProof/>
            <w:webHidden/>
          </w:rPr>
          <w:fldChar w:fldCharType="end"/>
        </w:r>
      </w:hyperlink>
    </w:p>
    <w:p w14:paraId="22DE1FFC" w14:textId="77777777" w:rsidR="00717C97" w:rsidRDefault="00717C97">
      <w:pPr>
        <w:pStyle w:val="TOC1"/>
        <w:rPr>
          <w:rFonts w:asciiTheme="minorHAnsi" w:eastAsiaTheme="minorEastAsia" w:hAnsiTheme="minorHAnsi" w:cstheme="minorBidi"/>
          <w:noProof/>
          <w:sz w:val="22"/>
          <w:szCs w:val="22"/>
          <w:lang w:eastAsia="en-GB"/>
        </w:rPr>
      </w:pPr>
      <w:hyperlink w:anchor="_Toc45620358" w:history="1">
        <w:r w:rsidRPr="00F05BCD">
          <w:rPr>
            <w:rStyle w:val="Hyperlink"/>
            <w:rFonts w:ascii="Arial Bold" w:hAnsi="Arial Bold" w:cs="Broadway"/>
            <w:b/>
            <w:caps/>
            <w:noProof/>
            <w:kern w:val="24"/>
          </w:rPr>
          <w:t>1</w:t>
        </w:r>
        <w:r>
          <w:rPr>
            <w:rFonts w:asciiTheme="minorHAnsi" w:eastAsiaTheme="minorEastAsia" w:hAnsiTheme="minorHAnsi" w:cstheme="minorBidi"/>
            <w:noProof/>
            <w:sz w:val="22"/>
            <w:szCs w:val="22"/>
            <w:lang w:eastAsia="en-GB"/>
          </w:rPr>
          <w:tab/>
        </w:r>
        <w:r w:rsidRPr="00F05BCD">
          <w:rPr>
            <w:rStyle w:val="Hyperlink"/>
            <w:rFonts w:ascii="Arial Bold" w:hAnsi="Arial Bold"/>
            <w:b/>
            <w:noProof/>
          </w:rPr>
          <w:t>Statement of Aims and Objectives</w:t>
        </w:r>
        <w:r>
          <w:rPr>
            <w:noProof/>
            <w:webHidden/>
          </w:rPr>
          <w:tab/>
        </w:r>
        <w:r>
          <w:rPr>
            <w:noProof/>
            <w:webHidden/>
          </w:rPr>
          <w:fldChar w:fldCharType="begin"/>
        </w:r>
        <w:r>
          <w:rPr>
            <w:noProof/>
            <w:webHidden/>
          </w:rPr>
          <w:instrText xml:space="preserve"> PAGEREF _Toc45620358 \h </w:instrText>
        </w:r>
        <w:r>
          <w:rPr>
            <w:noProof/>
            <w:webHidden/>
          </w:rPr>
        </w:r>
        <w:r>
          <w:rPr>
            <w:noProof/>
            <w:webHidden/>
          </w:rPr>
          <w:fldChar w:fldCharType="separate"/>
        </w:r>
        <w:r>
          <w:rPr>
            <w:noProof/>
            <w:webHidden/>
          </w:rPr>
          <w:t>4</w:t>
        </w:r>
        <w:r>
          <w:rPr>
            <w:noProof/>
            <w:webHidden/>
          </w:rPr>
          <w:fldChar w:fldCharType="end"/>
        </w:r>
      </w:hyperlink>
    </w:p>
    <w:p w14:paraId="3E7DC842" w14:textId="77777777" w:rsidR="00717C97" w:rsidRDefault="00717C97">
      <w:pPr>
        <w:pStyle w:val="TOC1"/>
        <w:rPr>
          <w:rFonts w:asciiTheme="minorHAnsi" w:eastAsiaTheme="minorEastAsia" w:hAnsiTheme="minorHAnsi" w:cstheme="minorBidi"/>
          <w:noProof/>
          <w:sz w:val="22"/>
          <w:szCs w:val="22"/>
          <w:lang w:eastAsia="en-GB"/>
        </w:rPr>
      </w:pPr>
      <w:hyperlink w:anchor="_Toc45620359" w:history="1">
        <w:r w:rsidRPr="00F05BCD">
          <w:rPr>
            <w:rStyle w:val="Hyperlink"/>
            <w:rFonts w:ascii="Arial Bold" w:hAnsi="Arial Bold" w:cs="Broadway"/>
            <w:b/>
            <w:caps/>
            <w:noProof/>
            <w:kern w:val="24"/>
          </w:rPr>
          <w:t>2</w:t>
        </w:r>
        <w:r>
          <w:rPr>
            <w:rFonts w:asciiTheme="minorHAnsi" w:eastAsiaTheme="minorEastAsia" w:hAnsiTheme="minorHAnsi" w:cstheme="minorBidi"/>
            <w:noProof/>
            <w:sz w:val="22"/>
            <w:szCs w:val="22"/>
            <w:lang w:eastAsia="en-GB"/>
          </w:rPr>
          <w:tab/>
        </w:r>
        <w:r w:rsidRPr="00F05BCD">
          <w:rPr>
            <w:rStyle w:val="Hyperlink"/>
            <w:rFonts w:cs="Arial"/>
            <w:b/>
            <w:bCs/>
            <w:noProof/>
          </w:rPr>
          <w:t>Principles</w:t>
        </w:r>
        <w:r>
          <w:rPr>
            <w:noProof/>
            <w:webHidden/>
          </w:rPr>
          <w:tab/>
        </w:r>
        <w:r>
          <w:rPr>
            <w:noProof/>
            <w:webHidden/>
          </w:rPr>
          <w:fldChar w:fldCharType="begin"/>
        </w:r>
        <w:r>
          <w:rPr>
            <w:noProof/>
            <w:webHidden/>
          </w:rPr>
          <w:instrText xml:space="preserve"> PAGEREF _Toc45620359 \h </w:instrText>
        </w:r>
        <w:r>
          <w:rPr>
            <w:noProof/>
            <w:webHidden/>
          </w:rPr>
        </w:r>
        <w:r>
          <w:rPr>
            <w:noProof/>
            <w:webHidden/>
          </w:rPr>
          <w:fldChar w:fldCharType="separate"/>
        </w:r>
        <w:r>
          <w:rPr>
            <w:noProof/>
            <w:webHidden/>
          </w:rPr>
          <w:t>4</w:t>
        </w:r>
        <w:r>
          <w:rPr>
            <w:noProof/>
            <w:webHidden/>
          </w:rPr>
          <w:fldChar w:fldCharType="end"/>
        </w:r>
      </w:hyperlink>
    </w:p>
    <w:p w14:paraId="7A787147" w14:textId="77777777" w:rsidR="00717C97" w:rsidRDefault="00717C97">
      <w:pPr>
        <w:pStyle w:val="TOC1"/>
        <w:rPr>
          <w:rFonts w:asciiTheme="minorHAnsi" w:eastAsiaTheme="minorEastAsia" w:hAnsiTheme="minorHAnsi" w:cstheme="minorBidi"/>
          <w:noProof/>
          <w:sz w:val="22"/>
          <w:szCs w:val="22"/>
          <w:lang w:eastAsia="en-GB"/>
        </w:rPr>
      </w:pPr>
      <w:hyperlink w:anchor="_Toc45620360" w:history="1">
        <w:r w:rsidRPr="00F05BCD">
          <w:rPr>
            <w:rStyle w:val="Hyperlink"/>
            <w:rFonts w:ascii="Arial Bold" w:hAnsi="Arial Bold" w:cs="Broadway"/>
            <w:b/>
            <w:caps/>
            <w:noProof/>
            <w:kern w:val="24"/>
          </w:rPr>
          <w:t>3</w:t>
        </w:r>
        <w:r>
          <w:rPr>
            <w:rFonts w:asciiTheme="minorHAnsi" w:eastAsiaTheme="minorEastAsia" w:hAnsiTheme="minorHAnsi" w:cstheme="minorBidi"/>
            <w:noProof/>
            <w:sz w:val="22"/>
            <w:szCs w:val="22"/>
            <w:lang w:eastAsia="en-GB"/>
          </w:rPr>
          <w:tab/>
        </w:r>
        <w:r w:rsidRPr="00F05BCD">
          <w:rPr>
            <w:rStyle w:val="Hyperlink"/>
            <w:rFonts w:cs="Arial"/>
            <w:b/>
            <w:bCs/>
            <w:noProof/>
          </w:rPr>
          <w:t>Definitions</w:t>
        </w:r>
        <w:r>
          <w:rPr>
            <w:noProof/>
            <w:webHidden/>
          </w:rPr>
          <w:tab/>
        </w:r>
        <w:r>
          <w:rPr>
            <w:noProof/>
            <w:webHidden/>
          </w:rPr>
          <w:fldChar w:fldCharType="begin"/>
        </w:r>
        <w:r>
          <w:rPr>
            <w:noProof/>
            <w:webHidden/>
          </w:rPr>
          <w:instrText xml:space="preserve"> PAGEREF _Toc45620360 \h </w:instrText>
        </w:r>
        <w:r>
          <w:rPr>
            <w:noProof/>
            <w:webHidden/>
          </w:rPr>
        </w:r>
        <w:r>
          <w:rPr>
            <w:noProof/>
            <w:webHidden/>
          </w:rPr>
          <w:fldChar w:fldCharType="separate"/>
        </w:r>
        <w:r>
          <w:rPr>
            <w:noProof/>
            <w:webHidden/>
          </w:rPr>
          <w:t>5</w:t>
        </w:r>
        <w:r>
          <w:rPr>
            <w:noProof/>
            <w:webHidden/>
          </w:rPr>
          <w:fldChar w:fldCharType="end"/>
        </w:r>
      </w:hyperlink>
    </w:p>
    <w:p w14:paraId="799EA0CF" w14:textId="77777777" w:rsidR="00717C97" w:rsidRDefault="00717C97">
      <w:pPr>
        <w:pStyle w:val="TOC1"/>
        <w:rPr>
          <w:rFonts w:asciiTheme="minorHAnsi" w:eastAsiaTheme="minorEastAsia" w:hAnsiTheme="minorHAnsi" w:cstheme="minorBidi"/>
          <w:noProof/>
          <w:sz w:val="22"/>
          <w:szCs w:val="22"/>
          <w:lang w:eastAsia="en-GB"/>
        </w:rPr>
      </w:pPr>
      <w:hyperlink w:anchor="_Toc45620361" w:history="1">
        <w:r w:rsidRPr="00F05BCD">
          <w:rPr>
            <w:rStyle w:val="Hyperlink"/>
            <w:rFonts w:ascii="Arial Bold" w:hAnsi="Arial Bold" w:cs="Broadway"/>
            <w:b/>
            <w:caps/>
            <w:noProof/>
            <w:kern w:val="24"/>
          </w:rPr>
          <w:t>4</w:t>
        </w:r>
        <w:r>
          <w:rPr>
            <w:rFonts w:asciiTheme="minorHAnsi" w:eastAsiaTheme="minorEastAsia" w:hAnsiTheme="minorHAnsi" w:cstheme="minorBidi"/>
            <w:noProof/>
            <w:sz w:val="22"/>
            <w:szCs w:val="22"/>
            <w:lang w:eastAsia="en-GB"/>
          </w:rPr>
          <w:tab/>
        </w:r>
        <w:r w:rsidRPr="00F05BCD">
          <w:rPr>
            <w:rStyle w:val="Hyperlink"/>
            <w:rFonts w:cs="Arial"/>
            <w:b/>
            <w:bCs/>
            <w:noProof/>
          </w:rPr>
          <w:t>Responsibilities</w:t>
        </w:r>
        <w:r>
          <w:rPr>
            <w:noProof/>
            <w:webHidden/>
          </w:rPr>
          <w:tab/>
        </w:r>
        <w:r>
          <w:rPr>
            <w:noProof/>
            <w:webHidden/>
          </w:rPr>
          <w:fldChar w:fldCharType="begin"/>
        </w:r>
        <w:r>
          <w:rPr>
            <w:noProof/>
            <w:webHidden/>
          </w:rPr>
          <w:instrText xml:space="preserve"> PAGEREF _Toc45620361 \h </w:instrText>
        </w:r>
        <w:r>
          <w:rPr>
            <w:noProof/>
            <w:webHidden/>
          </w:rPr>
        </w:r>
        <w:r>
          <w:rPr>
            <w:noProof/>
            <w:webHidden/>
          </w:rPr>
          <w:fldChar w:fldCharType="separate"/>
        </w:r>
        <w:r>
          <w:rPr>
            <w:noProof/>
            <w:webHidden/>
          </w:rPr>
          <w:t>5</w:t>
        </w:r>
        <w:r>
          <w:rPr>
            <w:noProof/>
            <w:webHidden/>
          </w:rPr>
          <w:fldChar w:fldCharType="end"/>
        </w:r>
      </w:hyperlink>
    </w:p>
    <w:p w14:paraId="558C1451" w14:textId="77777777" w:rsidR="00717C97" w:rsidRDefault="00717C97">
      <w:pPr>
        <w:pStyle w:val="TOC1"/>
        <w:rPr>
          <w:rFonts w:asciiTheme="minorHAnsi" w:eastAsiaTheme="minorEastAsia" w:hAnsiTheme="minorHAnsi" w:cstheme="minorBidi"/>
          <w:noProof/>
          <w:sz w:val="22"/>
          <w:szCs w:val="22"/>
          <w:lang w:eastAsia="en-GB"/>
        </w:rPr>
      </w:pPr>
      <w:hyperlink w:anchor="_Toc45620362" w:history="1">
        <w:r w:rsidRPr="00F05BCD">
          <w:rPr>
            <w:rStyle w:val="Hyperlink"/>
            <w:rFonts w:ascii="Arial Bold" w:hAnsi="Arial Bold" w:cs="Broadway"/>
            <w:b/>
            <w:caps/>
            <w:noProof/>
            <w:kern w:val="24"/>
          </w:rPr>
          <w:t>5</w:t>
        </w:r>
        <w:r>
          <w:rPr>
            <w:rFonts w:asciiTheme="minorHAnsi" w:eastAsiaTheme="minorEastAsia" w:hAnsiTheme="minorHAnsi" w:cstheme="minorBidi"/>
            <w:noProof/>
            <w:sz w:val="22"/>
            <w:szCs w:val="22"/>
            <w:lang w:eastAsia="en-GB"/>
          </w:rPr>
          <w:tab/>
        </w:r>
        <w:r w:rsidRPr="00F05BCD">
          <w:rPr>
            <w:rStyle w:val="Hyperlink"/>
            <w:rFonts w:cs="Arial"/>
            <w:b/>
            <w:bCs/>
            <w:noProof/>
          </w:rPr>
          <w:t>Procedure</w:t>
        </w:r>
        <w:r>
          <w:rPr>
            <w:noProof/>
            <w:webHidden/>
          </w:rPr>
          <w:tab/>
        </w:r>
        <w:r>
          <w:rPr>
            <w:noProof/>
            <w:webHidden/>
          </w:rPr>
          <w:fldChar w:fldCharType="begin"/>
        </w:r>
        <w:r>
          <w:rPr>
            <w:noProof/>
            <w:webHidden/>
          </w:rPr>
          <w:instrText xml:space="preserve"> PAGEREF _Toc45620362 \h </w:instrText>
        </w:r>
        <w:r>
          <w:rPr>
            <w:noProof/>
            <w:webHidden/>
          </w:rPr>
        </w:r>
        <w:r>
          <w:rPr>
            <w:noProof/>
            <w:webHidden/>
          </w:rPr>
          <w:fldChar w:fldCharType="separate"/>
        </w:r>
        <w:r>
          <w:rPr>
            <w:noProof/>
            <w:webHidden/>
          </w:rPr>
          <w:t>5</w:t>
        </w:r>
        <w:r>
          <w:rPr>
            <w:noProof/>
            <w:webHidden/>
          </w:rPr>
          <w:fldChar w:fldCharType="end"/>
        </w:r>
      </w:hyperlink>
    </w:p>
    <w:p w14:paraId="79F44FA6" w14:textId="77777777" w:rsidR="00717C97" w:rsidRDefault="00717C97">
      <w:pPr>
        <w:pStyle w:val="TOC1"/>
        <w:rPr>
          <w:rFonts w:asciiTheme="minorHAnsi" w:eastAsiaTheme="minorEastAsia" w:hAnsiTheme="minorHAnsi" w:cstheme="minorBidi"/>
          <w:noProof/>
          <w:sz w:val="22"/>
          <w:szCs w:val="22"/>
          <w:lang w:eastAsia="en-GB"/>
        </w:rPr>
      </w:pPr>
      <w:hyperlink w:anchor="_Toc45620363" w:history="1">
        <w:r w:rsidRPr="00F05BCD">
          <w:rPr>
            <w:rStyle w:val="Hyperlink"/>
            <w:rFonts w:ascii="Arial Bold" w:hAnsi="Arial Bold" w:cs="Broadway"/>
            <w:b/>
            <w:caps/>
            <w:noProof/>
            <w:kern w:val="24"/>
          </w:rPr>
          <w:t>6</w:t>
        </w:r>
        <w:r>
          <w:rPr>
            <w:rFonts w:asciiTheme="minorHAnsi" w:eastAsiaTheme="minorEastAsia" w:hAnsiTheme="minorHAnsi" w:cstheme="minorBidi"/>
            <w:noProof/>
            <w:sz w:val="22"/>
            <w:szCs w:val="22"/>
            <w:lang w:eastAsia="en-GB"/>
          </w:rPr>
          <w:tab/>
        </w:r>
        <w:r w:rsidRPr="00F05BCD">
          <w:rPr>
            <w:rStyle w:val="Hyperlink"/>
            <w:rFonts w:cs="Arial"/>
            <w:b/>
            <w:bCs/>
            <w:noProof/>
          </w:rPr>
          <w:t>Education and training</w:t>
        </w:r>
        <w:r>
          <w:rPr>
            <w:noProof/>
            <w:webHidden/>
          </w:rPr>
          <w:tab/>
        </w:r>
        <w:r>
          <w:rPr>
            <w:noProof/>
            <w:webHidden/>
          </w:rPr>
          <w:fldChar w:fldCharType="begin"/>
        </w:r>
        <w:r>
          <w:rPr>
            <w:noProof/>
            <w:webHidden/>
          </w:rPr>
          <w:instrText xml:space="preserve"> PAGEREF _Toc45620363 \h </w:instrText>
        </w:r>
        <w:r>
          <w:rPr>
            <w:noProof/>
            <w:webHidden/>
          </w:rPr>
        </w:r>
        <w:r>
          <w:rPr>
            <w:noProof/>
            <w:webHidden/>
          </w:rPr>
          <w:fldChar w:fldCharType="separate"/>
        </w:r>
        <w:r>
          <w:rPr>
            <w:noProof/>
            <w:webHidden/>
          </w:rPr>
          <w:t>6</w:t>
        </w:r>
        <w:r>
          <w:rPr>
            <w:noProof/>
            <w:webHidden/>
          </w:rPr>
          <w:fldChar w:fldCharType="end"/>
        </w:r>
      </w:hyperlink>
    </w:p>
    <w:p w14:paraId="2CA0868C" w14:textId="77777777" w:rsidR="00717C97" w:rsidRDefault="00717C97">
      <w:pPr>
        <w:pStyle w:val="TOC1"/>
        <w:rPr>
          <w:rFonts w:asciiTheme="minorHAnsi" w:eastAsiaTheme="minorEastAsia" w:hAnsiTheme="minorHAnsi" w:cstheme="minorBidi"/>
          <w:noProof/>
          <w:sz w:val="22"/>
          <w:szCs w:val="22"/>
          <w:lang w:eastAsia="en-GB"/>
        </w:rPr>
      </w:pPr>
      <w:hyperlink w:anchor="_Toc45620364" w:history="1">
        <w:r w:rsidRPr="00F05BCD">
          <w:rPr>
            <w:rStyle w:val="Hyperlink"/>
            <w:rFonts w:ascii="Arial Bold" w:hAnsi="Arial Bold" w:cs="Broadway"/>
            <w:b/>
            <w:caps/>
            <w:noProof/>
            <w:kern w:val="24"/>
          </w:rPr>
          <w:t>7</w:t>
        </w:r>
        <w:r>
          <w:rPr>
            <w:rFonts w:asciiTheme="minorHAnsi" w:eastAsiaTheme="minorEastAsia" w:hAnsiTheme="minorHAnsi" w:cstheme="minorBidi"/>
            <w:noProof/>
            <w:sz w:val="22"/>
            <w:szCs w:val="22"/>
            <w:lang w:eastAsia="en-GB"/>
          </w:rPr>
          <w:tab/>
        </w:r>
        <w:r w:rsidRPr="00F05BCD">
          <w:rPr>
            <w:rStyle w:val="Hyperlink"/>
            <w:rFonts w:cs="Arial"/>
            <w:b/>
            <w:bCs/>
            <w:noProof/>
          </w:rPr>
          <w:t>Monitoring compliance</w:t>
        </w:r>
        <w:r>
          <w:rPr>
            <w:noProof/>
            <w:webHidden/>
          </w:rPr>
          <w:tab/>
        </w:r>
        <w:r>
          <w:rPr>
            <w:noProof/>
            <w:webHidden/>
          </w:rPr>
          <w:fldChar w:fldCharType="begin"/>
        </w:r>
        <w:r>
          <w:rPr>
            <w:noProof/>
            <w:webHidden/>
          </w:rPr>
          <w:instrText xml:space="preserve"> PAGEREF _Toc45620364 \h </w:instrText>
        </w:r>
        <w:r>
          <w:rPr>
            <w:noProof/>
            <w:webHidden/>
          </w:rPr>
        </w:r>
        <w:r>
          <w:rPr>
            <w:noProof/>
            <w:webHidden/>
          </w:rPr>
          <w:fldChar w:fldCharType="separate"/>
        </w:r>
        <w:r>
          <w:rPr>
            <w:noProof/>
            <w:webHidden/>
          </w:rPr>
          <w:t>6</w:t>
        </w:r>
        <w:r>
          <w:rPr>
            <w:noProof/>
            <w:webHidden/>
          </w:rPr>
          <w:fldChar w:fldCharType="end"/>
        </w:r>
      </w:hyperlink>
    </w:p>
    <w:p w14:paraId="25566A6C" w14:textId="77777777" w:rsidR="00717C97" w:rsidRDefault="00717C97">
      <w:pPr>
        <w:pStyle w:val="TOC1"/>
        <w:rPr>
          <w:rFonts w:asciiTheme="minorHAnsi" w:eastAsiaTheme="minorEastAsia" w:hAnsiTheme="minorHAnsi" w:cstheme="minorBidi"/>
          <w:noProof/>
          <w:sz w:val="22"/>
          <w:szCs w:val="22"/>
          <w:lang w:eastAsia="en-GB"/>
        </w:rPr>
      </w:pPr>
      <w:hyperlink w:anchor="_Toc45620365" w:history="1">
        <w:r w:rsidRPr="00F05BCD">
          <w:rPr>
            <w:rStyle w:val="Hyperlink"/>
            <w:rFonts w:ascii="Arial Bold" w:hAnsi="Arial Bold" w:cs="Broadway"/>
            <w:b/>
            <w:caps/>
            <w:noProof/>
            <w:kern w:val="24"/>
          </w:rPr>
          <w:t>8</w:t>
        </w:r>
        <w:r>
          <w:rPr>
            <w:rFonts w:asciiTheme="minorHAnsi" w:eastAsiaTheme="minorEastAsia" w:hAnsiTheme="minorHAnsi" w:cstheme="minorBidi"/>
            <w:noProof/>
            <w:sz w:val="22"/>
            <w:szCs w:val="22"/>
            <w:lang w:eastAsia="en-GB"/>
          </w:rPr>
          <w:tab/>
        </w:r>
        <w:r w:rsidRPr="00F05BCD">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_Toc45620365 \h </w:instrText>
        </w:r>
        <w:r>
          <w:rPr>
            <w:noProof/>
            <w:webHidden/>
          </w:rPr>
        </w:r>
        <w:r>
          <w:rPr>
            <w:noProof/>
            <w:webHidden/>
          </w:rPr>
          <w:fldChar w:fldCharType="separate"/>
        </w:r>
        <w:r>
          <w:rPr>
            <w:noProof/>
            <w:webHidden/>
          </w:rPr>
          <w:t>7</w:t>
        </w:r>
        <w:r>
          <w:rPr>
            <w:noProof/>
            <w:webHidden/>
          </w:rPr>
          <w:fldChar w:fldCharType="end"/>
        </w:r>
      </w:hyperlink>
    </w:p>
    <w:p w14:paraId="7F3D8899" w14:textId="77777777" w:rsidR="00717C97" w:rsidRDefault="00717C97">
      <w:pPr>
        <w:pStyle w:val="TOC1"/>
        <w:rPr>
          <w:rFonts w:asciiTheme="minorHAnsi" w:eastAsiaTheme="minorEastAsia" w:hAnsiTheme="minorHAnsi" w:cstheme="minorBidi"/>
          <w:noProof/>
          <w:sz w:val="22"/>
          <w:szCs w:val="22"/>
          <w:lang w:eastAsia="en-GB"/>
        </w:rPr>
      </w:pPr>
      <w:hyperlink w:anchor="_Toc45620366" w:history="1">
        <w:r w:rsidRPr="00F05BCD">
          <w:rPr>
            <w:rStyle w:val="Hyperlink"/>
            <w:rFonts w:ascii="Arial Bold" w:hAnsi="Arial Bold" w:cs="Broadway"/>
            <w:b/>
            <w:caps/>
            <w:noProof/>
            <w:kern w:val="24"/>
          </w:rPr>
          <w:t>9</w:t>
        </w:r>
        <w:r>
          <w:rPr>
            <w:rFonts w:asciiTheme="minorHAnsi" w:eastAsiaTheme="minorEastAsia" w:hAnsiTheme="minorHAnsi" w:cstheme="minorBidi"/>
            <w:noProof/>
            <w:sz w:val="22"/>
            <w:szCs w:val="22"/>
            <w:lang w:eastAsia="en-GB"/>
          </w:rPr>
          <w:tab/>
        </w:r>
        <w:r w:rsidRPr="00F05BCD">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_Toc45620366 \h </w:instrText>
        </w:r>
        <w:r>
          <w:rPr>
            <w:noProof/>
            <w:webHidden/>
          </w:rPr>
        </w:r>
        <w:r>
          <w:rPr>
            <w:noProof/>
            <w:webHidden/>
          </w:rPr>
          <w:fldChar w:fldCharType="separate"/>
        </w:r>
        <w:r>
          <w:rPr>
            <w:noProof/>
            <w:webHidden/>
          </w:rPr>
          <w:t>7</w:t>
        </w:r>
        <w:r>
          <w:rPr>
            <w:noProof/>
            <w:webHidden/>
          </w:rPr>
          <w:fldChar w:fldCharType="end"/>
        </w:r>
      </w:hyperlink>
    </w:p>
    <w:p w14:paraId="76AE4DD7" w14:textId="77777777" w:rsidR="00717C97" w:rsidRDefault="00717C97">
      <w:pPr>
        <w:pStyle w:val="TOC1"/>
        <w:rPr>
          <w:rFonts w:asciiTheme="minorHAnsi" w:eastAsiaTheme="minorEastAsia" w:hAnsiTheme="minorHAnsi" w:cstheme="minorBidi"/>
          <w:noProof/>
          <w:sz w:val="22"/>
          <w:szCs w:val="22"/>
          <w:lang w:eastAsia="en-GB"/>
        </w:rPr>
      </w:pPr>
      <w:hyperlink w:anchor="_Toc45620367" w:history="1">
        <w:r w:rsidRPr="00F05BCD">
          <w:rPr>
            <w:rStyle w:val="Hyperlink"/>
            <w:rFonts w:ascii="Arial Bold" w:hAnsi="Arial Bold" w:cs="Broadway"/>
            <w:b/>
            <w:caps/>
            <w:noProof/>
            <w:kern w:val="24"/>
          </w:rPr>
          <w:t>10</w:t>
        </w:r>
        <w:r>
          <w:rPr>
            <w:rFonts w:asciiTheme="minorHAnsi" w:eastAsiaTheme="minorEastAsia" w:hAnsiTheme="minorHAnsi" w:cstheme="minorBidi"/>
            <w:noProof/>
            <w:sz w:val="22"/>
            <w:szCs w:val="22"/>
            <w:lang w:eastAsia="en-GB"/>
          </w:rPr>
          <w:tab/>
        </w:r>
        <w:r w:rsidRPr="00F05BCD">
          <w:rPr>
            <w:rStyle w:val="Hyperlink"/>
            <w:rFonts w:cs="Arial"/>
            <w:b/>
            <w:bCs/>
            <w:noProof/>
          </w:rPr>
          <w:t>References</w:t>
        </w:r>
        <w:r>
          <w:rPr>
            <w:noProof/>
            <w:webHidden/>
          </w:rPr>
          <w:tab/>
        </w:r>
        <w:r>
          <w:rPr>
            <w:noProof/>
            <w:webHidden/>
          </w:rPr>
          <w:fldChar w:fldCharType="begin"/>
        </w:r>
        <w:r>
          <w:rPr>
            <w:noProof/>
            <w:webHidden/>
          </w:rPr>
          <w:instrText xml:space="preserve"> PAGEREF _Toc45620367 \h </w:instrText>
        </w:r>
        <w:r>
          <w:rPr>
            <w:noProof/>
            <w:webHidden/>
          </w:rPr>
        </w:r>
        <w:r>
          <w:rPr>
            <w:noProof/>
            <w:webHidden/>
          </w:rPr>
          <w:fldChar w:fldCharType="separate"/>
        </w:r>
        <w:r>
          <w:rPr>
            <w:noProof/>
            <w:webHidden/>
          </w:rPr>
          <w:t>7</w:t>
        </w:r>
        <w:r>
          <w:rPr>
            <w:noProof/>
            <w:webHidden/>
          </w:rPr>
          <w:fldChar w:fldCharType="end"/>
        </w:r>
      </w:hyperlink>
    </w:p>
    <w:p w14:paraId="17ED1F7A" w14:textId="77777777" w:rsidR="00717C97" w:rsidRDefault="00717C97">
      <w:pPr>
        <w:pStyle w:val="TOC1"/>
        <w:rPr>
          <w:rFonts w:asciiTheme="minorHAnsi" w:eastAsiaTheme="minorEastAsia" w:hAnsiTheme="minorHAnsi" w:cstheme="minorBidi"/>
          <w:noProof/>
          <w:sz w:val="22"/>
          <w:szCs w:val="22"/>
          <w:lang w:eastAsia="en-GB"/>
        </w:rPr>
      </w:pPr>
      <w:hyperlink w:anchor="_Toc45620368" w:history="1">
        <w:r w:rsidRPr="00F05BCD">
          <w:rPr>
            <w:rStyle w:val="Hyperlink"/>
            <w:rFonts w:ascii="Arial Bold" w:hAnsi="Arial Bold" w:cs="Broadway"/>
            <w:b/>
            <w:caps/>
            <w:noProof/>
            <w:kern w:val="24"/>
          </w:rPr>
          <w:t>11</w:t>
        </w:r>
        <w:r>
          <w:rPr>
            <w:rFonts w:asciiTheme="minorHAnsi" w:eastAsiaTheme="minorEastAsia" w:hAnsiTheme="minorHAnsi" w:cstheme="minorBidi"/>
            <w:noProof/>
            <w:sz w:val="22"/>
            <w:szCs w:val="22"/>
            <w:lang w:eastAsia="en-GB"/>
          </w:rPr>
          <w:tab/>
        </w:r>
        <w:r w:rsidRPr="00F05BCD">
          <w:rPr>
            <w:rStyle w:val="Hyperlink"/>
            <w:rFonts w:cs="Arial"/>
            <w:b/>
            <w:bCs/>
            <w:noProof/>
          </w:rPr>
          <w:t>Financial Checkpoint</w:t>
        </w:r>
        <w:r>
          <w:rPr>
            <w:noProof/>
            <w:webHidden/>
          </w:rPr>
          <w:tab/>
        </w:r>
        <w:r>
          <w:rPr>
            <w:noProof/>
            <w:webHidden/>
          </w:rPr>
          <w:fldChar w:fldCharType="begin"/>
        </w:r>
        <w:r>
          <w:rPr>
            <w:noProof/>
            <w:webHidden/>
          </w:rPr>
          <w:instrText xml:space="preserve"> PAGEREF _Toc45620368 \h </w:instrText>
        </w:r>
        <w:r>
          <w:rPr>
            <w:noProof/>
            <w:webHidden/>
          </w:rPr>
        </w:r>
        <w:r>
          <w:rPr>
            <w:noProof/>
            <w:webHidden/>
          </w:rPr>
          <w:fldChar w:fldCharType="separate"/>
        </w:r>
        <w:r>
          <w:rPr>
            <w:noProof/>
            <w:webHidden/>
          </w:rPr>
          <w:t>8</w:t>
        </w:r>
        <w:r>
          <w:rPr>
            <w:noProof/>
            <w:webHidden/>
          </w:rPr>
          <w:fldChar w:fldCharType="end"/>
        </w:r>
      </w:hyperlink>
    </w:p>
    <w:p w14:paraId="7EDD5439" w14:textId="77777777" w:rsidR="00717C97" w:rsidRDefault="00717C97">
      <w:pPr>
        <w:pStyle w:val="TOC1"/>
        <w:rPr>
          <w:rFonts w:asciiTheme="minorHAnsi" w:eastAsiaTheme="minorEastAsia" w:hAnsiTheme="minorHAnsi" w:cstheme="minorBidi"/>
          <w:noProof/>
          <w:sz w:val="22"/>
          <w:szCs w:val="22"/>
          <w:lang w:eastAsia="en-GB"/>
        </w:rPr>
      </w:pPr>
      <w:hyperlink w:anchor="_Toc45620369" w:history="1">
        <w:r w:rsidRPr="00F05BCD">
          <w:rPr>
            <w:rStyle w:val="Hyperlink"/>
            <w:rFonts w:ascii="Arial Bold" w:hAnsi="Arial Bold"/>
            <w:b/>
            <w:caps/>
            <w:noProof/>
            <w:kern w:val="24"/>
          </w:rPr>
          <w:t>12</w:t>
        </w:r>
        <w:r>
          <w:rPr>
            <w:rFonts w:asciiTheme="minorHAnsi" w:eastAsiaTheme="minorEastAsia" w:hAnsiTheme="minorHAnsi" w:cstheme="minorBidi"/>
            <w:noProof/>
            <w:sz w:val="22"/>
            <w:szCs w:val="22"/>
            <w:lang w:eastAsia="en-GB"/>
          </w:rPr>
          <w:tab/>
        </w:r>
        <w:r w:rsidRPr="00F05BCD">
          <w:rPr>
            <w:rStyle w:val="Hyperlink"/>
            <w:rFonts w:cs="Arial"/>
            <w:b/>
            <w:bCs/>
            <w:noProof/>
          </w:rPr>
          <w:t>Equality Analysis</w:t>
        </w:r>
        <w:r>
          <w:rPr>
            <w:noProof/>
            <w:webHidden/>
          </w:rPr>
          <w:tab/>
        </w:r>
        <w:r>
          <w:rPr>
            <w:noProof/>
            <w:webHidden/>
          </w:rPr>
          <w:fldChar w:fldCharType="begin"/>
        </w:r>
        <w:r>
          <w:rPr>
            <w:noProof/>
            <w:webHidden/>
          </w:rPr>
          <w:instrText xml:space="preserve"> PAGEREF _Toc45620369 \h </w:instrText>
        </w:r>
        <w:r>
          <w:rPr>
            <w:noProof/>
            <w:webHidden/>
          </w:rPr>
        </w:r>
        <w:r>
          <w:rPr>
            <w:noProof/>
            <w:webHidden/>
          </w:rPr>
          <w:fldChar w:fldCharType="separate"/>
        </w:r>
        <w:r>
          <w:rPr>
            <w:noProof/>
            <w:webHidden/>
          </w:rPr>
          <w:t>8</w:t>
        </w:r>
        <w:r>
          <w:rPr>
            <w:noProof/>
            <w:webHidden/>
          </w:rPr>
          <w:fldChar w:fldCharType="end"/>
        </w:r>
      </w:hyperlink>
    </w:p>
    <w:p w14:paraId="0BF504CC" w14:textId="77777777" w:rsidR="00717C97" w:rsidRDefault="00717C97">
      <w:pPr>
        <w:pStyle w:val="TOC1"/>
        <w:rPr>
          <w:rFonts w:asciiTheme="minorHAnsi" w:eastAsiaTheme="minorEastAsia" w:hAnsiTheme="minorHAnsi" w:cstheme="minorBidi"/>
          <w:noProof/>
          <w:sz w:val="22"/>
          <w:szCs w:val="22"/>
          <w:lang w:eastAsia="en-GB"/>
        </w:rPr>
      </w:pPr>
      <w:hyperlink w:anchor="_Toc45620370" w:history="1">
        <w:r w:rsidRPr="00F05BCD">
          <w:rPr>
            <w:rStyle w:val="Hyperlink"/>
            <w:rFonts w:ascii="Arial Bold" w:hAnsi="Arial Bold"/>
            <w:b/>
            <w:caps/>
            <w:noProof/>
            <w:kern w:val="24"/>
          </w:rPr>
          <w:t>13</w:t>
        </w:r>
        <w:r>
          <w:rPr>
            <w:rFonts w:asciiTheme="minorHAnsi" w:eastAsiaTheme="minorEastAsia" w:hAnsiTheme="minorHAnsi" w:cstheme="minorBidi"/>
            <w:noProof/>
            <w:sz w:val="22"/>
            <w:szCs w:val="22"/>
            <w:lang w:eastAsia="en-GB"/>
          </w:rPr>
          <w:tab/>
        </w:r>
        <w:r w:rsidRPr="00F05BCD">
          <w:rPr>
            <w:rStyle w:val="Hyperlink"/>
            <w:rFonts w:cs="Arial"/>
            <w:b/>
            <w:bCs/>
            <w:noProof/>
          </w:rPr>
          <w:t>Quality Impact Assessment</w:t>
        </w:r>
        <w:r>
          <w:rPr>
            <w:noProof/>
            <w:webHidden/>
          </w:rPr>
          <w:tab/>
        </w:r>
        <w:r>
          <w:rPr>
            <w:noProof/>
            <w:webHidden/>
          </w:rPr>
          <w:fldChar w:fldCharType="begin"/>
        </w:r>
        <w:r>
          <w:rPr>
            <w:noProof/>
            <w:webHidden/>
          </w:rPr>
          <w:instrText xml:space="preserve"> PAGEREF _Toc45620370 \h </w:instrText>
        </w:r>
        <w:r>
          <w:rPr>
            <w:noProof/>
            <w:webHidden/>
          </w:rPr>
        </w:r>
        <w:r>
          <w:rPr>
            <w:noProof/>
            <w:webHidden/>
          </w:rPr>
          <w:fldChar w:fldCharType="separate"/>
        </w:r>
        <w:r>
          <w:rPr>
            <w:noProof/>
            <w:webHidden/>
          </w:rPr>
          <w:t>12</w:t>
        </w:r>
        <w:r>
          <w:rPr>
            <w:noProof/>
            <w:webHidden/>
          </w:rPr>
          <w:fldChar w:fldCharType="end"/>
        </w:r>
      </w:hyperlink>
    </w:p>
    <w:p w14:paraId="51C5C3C6" w14:textId="77777777" w:rsidR="00717C97" w:rsidRDefault="00717C97">
      <w:pPr>
        <w:pStyle w:val="TOC1"/>
        <w:rPr>
          <w:rFonts w:asciiTheme="minorHAnsi" w:eastAsiaTheme="minorEastAsia" w:hAnsiTheme="minorHAnsi" w:cstheme="minorBidi"/>
          <w:noProof/>
          <w:sz w:val="22"/>
          <w:szCs w:val="22"/>
          <w:lang w:eastAsia="en-GB"/>
        </w:rPr>
      </w:pPr>
      <w:hyperlink w:anchor="_Toc45620371" w:history="1">
        <w:r w:rsidRPr="00F05BCD">
          <w:rPr>
            <w:rStyle w:val="Hyperlink"/>
            <w:rFonts w:ascii="Arial Bold" w:hAnsi="Arial Bold"/>
            <w:b/>
            <w:caps/>
            <w:noProof/>
            <w:kern w:val="24"/>
          </w:rPr>
          <w:t>14</w:t>
        </w:r>
        <w:r>
          <w:rPr>
            <w:rFonts w:asciiTheme="minorHAnsi" w:eastAsiaTheme="minorEastAsia" w:hAnsiTheme="minorHAnsi" w:cstheme="minorBidi"/>
            <w:noProof/>
            <w:sz w:val="22"/>
            <w:szCs w:val="22"/>
            <w:lang w:eastAsia="en-GB"/>
          </w:rPr>
          <w:tab/>
        </w:r>
        <w:r w:rsidRPr="00F05BCD">
          <w:rPr>
            <w:rStyle w:val="Hyperlink"/>
            <w:rFonts w:cs="Arial"/>
            <w:b/>
            <w:bCs/>
            <w:noProof/>
          </w:rPr>
          <w:t>Data Privacy Impact Assessment</w:t>
        </w:r>
        <w:r>
          <w:rPr>
            <w:noProof/>
            <w:webHidden/>
          </w:rPr>
          <w:tab/>
        </w:r>
        <w:r>
          <w:rPr>
            <w:noProof/>
            <w:webHidden/>
          </w:rPr>
          <w:fldChar w:fldCharType="begin"/>
        </w:r>
        <w:r>
          <w:rPr>
            <w:noProof/>
            <w:webHidden/>
          </w:rPr>
          <w:instrText xml:space="preserve"> PAGEREF _Toc45620371 \h </w:instrText>
        </w:r>
        <w:r>
          <w:rPr>
            <w:noProof/>
            <w:webHidden/>
          </w:rPr>
        </w:r>
        <w:r>
          <w:rPr>
            <w:noProof/>
            <w:webHidden/>
          </w:rPr>
          <w:fldChar w:fldCharType="separate"/>
        </w:r>
        <w:r>
          <w:rPr>
            <w:noProof/>
            <w:webHidden/>
          </w:rPr>
          <w:t>15</w:t>
        </w:r>
        <w:r>
          <w:rPr>
            <w:noProof/>
            <w:webHidden/>
          </w:rPr>
          <w:fldChar w:fldCharType="end"/>
        </w:r>
      </w:hyperlink>
    </w:p>
    <w:p w14:paraId="2AF46F94" w14:textId="77777777" w:rsidR="00717C97" w:rsidRDefault="00717C97">
      <w:pPr>
        <w:pStyle w:val="TOC1"/>
        <w:rPr>
          <w:rFonts w:asciiTheme="minorHAnsi" w:eastAsiaTheme="minorEastAsia" w:hAnsiTheme="minorHAnsi" w:cstheme="minorBidi"/>
          <w:noProof/>
          <w:sz w:val="22"/>
          <w:szCs w:val="22"/>
          <w:lang w:eastAsia="en-GB"/>
        </w:rPr>
      </w:pPr>
      <w:hyperlink w:anchor="_Toc45620372" w:history="1">
        <w:r w:rsidRPr="00F05BCD">
          <w:rPr>
            <w:rStyle w:val="Hyperlink"/>
            <w:rFonts w:cs="Arial"/>
            <w:b/>
            <w:bCs/>
            <w:noProof/>
          </w:rPr>
          <w:t>Appendix A: Formatting</w:t>
        </w:r>
        <w:r>
          <w:rPr>
            <w:noProof/>
            <w:webHidden/>
          </w:rPr>
          <w:tab/>
        </w:r>
        <w:r>
          <w:rPr>
            <w:noProof/>
            <w:webHidden/>
          </w:rPr>
          <w:fldChar w:fldCharType="begin"/>
        </w:r>
        <w:r>
          <w:rPr>
            <w:noProof/>
            <w:webHidden/>
          </w:rPr>
          <w:instrText xml:space="preserve"> PAGEREF _Toc45620372 \h </w:instrText>
        </w:r>
        <w:r>
          <w:rPr>
            <w:noProof/>
            <w:webHidden/>
          </w:rPr>
        </w:r>
        <w:r>
          <w:rPr>
            <w:noProof/>
            <w:webHidden/>
          </w:rPr>
          <w:fldChar w:fldCharType="separate"/>
        </w:r>
        <w:r>
          <w:rPr>
            <w:noProof/>
            <w:webHidden/>
          </w:rPr>
          <w:t>19</w:t>
        </w:r>
        <w:r>
          <w:rPr>
            <w:noProof/>
            <w:webHidden/>
          </w:rPr>
          <w:fldChar w:fldCharType="end"/>
        </w:r>
      </w:hyperlink>
    </w:p>
    <w:p w14:paraId="7E6942C6" w14:textId="77777777" w:rsidR="00717C97" w:rsidRDefault="00717C97">
      <w:pPr>
        <w:pStyle w:val="TOC1"/>
        <w:rPr>
          <w:rFonts w:asciiTheme="minorHAnsi" w:eastAsiaTheme="minorEastAsia" w:hAnsiTheme="minorHAnsi" w:cstheme="minorBidi"/>
          <w:noProof/>
          <w:sz w:val="22"/>
          <w:szCs w:val="22"/>
          <w:lang w:eastAsia="en-GB"/>
        </w:rPr>
      </w:pPr>
      <w:hyperlink w:anchor="_Toc45620373" w:history="1">
        <w:r w:rsidRPr="00F05BCD">
          <w:rPr>
            <w:rStyle w:val="Hyperlink"/>
            <w:rFonts w:cs="Arial"/>
            <w:b/>
            <w:bCs/>
            <w:noProof/>
          </w:rPr>
          <w:t>Appendix B: Making sure your policy and procedure follows the Trust style</w:t>
        </w:r>
        <w:r>
          <w:rPr>
            <w:noProof/>
            <w:webHidden/>
          </w:rPr>
          <w:tab/>
        </w:r>
        <w:r>
          <w:rPr>
            <w:noProof/>
            <w:webHidden/>
          </w:rPr>
          <w:fldChar w:fldCharType="begin"/>
        </w:r>
        <w:r>
          <w:rPr>
            <w:noProof/>
            <w:webHidden/>
          </w:rPr>
          <w:instrText xml:space="preserve"> PAGEREF _Toc45620373 \h </w:instrText>
        </w:r>
        <w:r>
          <w:rPr>
            <w:noProof/>
            <w:webHidden/>
          </w:rPr>
        </w:r>
        <w:r>
          <w:rPr>
            <w:noProof/>
            <w:webHidden/>
          </w:rPr>
          <w:fldChar w:fldCharType="separate"/>
        </w:r>
        <w:r>
          <w:rPr>
            <w:noProof/>
            <w:webHidden/>
          </w:rPr>
          <w:t>20</w:t>
        </w:r>
        <w:r>
          <w:rPr>
            <w:noProof/>
            <w:webHidden/>
          </w:rPr>
          <w:fldChar w:fldCharType="end"/>
        </w:r>
      </w:hyperlink>
    </w:p>
    <w:p w14:paraId="2733A71C" w14:textId="77777777"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039E9659" w14:textId="77777777" w:rsidR="008D35F0" w:rsidRDefault="00640176" w:rsidP="005C04FA">
      <w:pPr>
        <w:numPr>
          <w:ilvl w:val="0"/>
          <w:numId w:val="2"/>
        </w:numPr>
        <w:tabs>
          <w:tab w:val="left" w:pos="1162"/>
        </w:tabs>
        <w:spacing w:before="360" w:after="240"/>
        <w:outlineLvl w:val="0"/>
        <w:rPr>
          <w:rFonts w:ascii="Arial Bold" w:hAnsi="Arial Bold"/>
          <w:b/>
          <w:sz w:val="28"/>
        </w:rPr>
      </w:pPr>
      <w:bookmarkStart w:id="1" w:name="_Toc45620358"/>
      <w:r w:rsidRPr="00640176">
        <w:rPr>
          <w:rFonts w:ascii="Arial Bold" w:hAnsi="Arial Bold"/>
          <w:b/>
          <w:sz w:val="28"/>
        </w:rPr>
        <w:lastRenderedPageBreak/>
        <w:t>Statement of Aims and Objectives</w:t>
      </w:r>
      <w:bookmarkEnd w:id="1"/>
    </w:p>
    <w:p w14:paraId="75FA7825" w14:textId="7A147BEC" w:rsidR="00170EFC" w:rsidRPr="003E13B3" w:rsidRDefault="0057266F" w:rsidP="003E13B3">
      <w:pPr>
        <w:numPr>
          <w:ilvl w:val="1"/>
          <w:numId w:val="8"/>
        </w:numPr>
        <w:spacing w:after="240"/>
        <w:rPr>
          <w:rFonts w:cs="Arial"/>
        </w:rPr>
      </w:pPr>
      <w:bookmarkStart w:id="2" w:name="_Toc517087500"/>
      <w:bookmarkStart w:id="3" w:name="_Toc517104361"/>
      <w:r w:rsidRPr="008D6194">
        <w:rPr>
          <w:rFonts w:cs="Arial"/>
          <w:bCs/>
        </w:rPr>
        <w:t>South East Coast Ambulance Service NHS Foundation Trust (the Trust) is committed to providing high quality patient care. Some patients who suffer falls, and who cannot get themselves up, are at risk of developing additional disease</w:t>
      </w:r>
      <w:r>
        <w:rPr>
          <w:rFonts w:cs="Arial"/>
        </w:rPr>
        <w:t xml:space="preserve"> processes if they experience what is referred to as a “long lie”. A long lie is </w:t>
      </w:r>
      <w:proofErr w:type="gramStart"/>
      <w:r>
        <w:rPr>
          <w:rFonts w:cs="Arial"/>
        </w:rPr>
        <w:t>a period of time</w:t>
      </w:r>
      <w:proofErr w:type="gramEnd"/>
      <w:r>
        <w:rPr>
          <w:rFonts w:cs="Arial"/>
        </w:rPr>
        <w:t xml:space="preserve"> sufficient to cause conditions such as dehydration, acute kidney injury, hypothermia, pressure damage (among others) despite being uninjured in the fall.</w:t>
      </w:r>
    </w:p>
    <w:p w14:paraId="24E01CE7" w14:textId="51FA2CED" w:rsidR="008D35F0" w:rsidRPr="003E13B3" w:rsidRDefault="00B5109A" w:rsidP="003E13B3">
      <w:pPr>
        <w:numPr>
          <w:ilvl w:val="1"/>
          <w:numId w:val="8"/>
        </w:numPr>
        <w:spacing w:after="240"/>
        <w:rPr>
          <w:rFonts w:cs="Arial"/>
        </w:rPr>
      </w:pPr>
      <w:r>
        <w:rPr>
          <w:rFonts w:cs="Arial"/>
        </w:rPr>
        <w:t>The Trust is developing Models of Care (MOC)</w:t>
      </w:r>
      <w:r w:rsidR="00E86514">
        <w:rPr>
          <w:rFonts w:cs="Arial"/>
        </w:rPr>
        <w:t xml:space="preserve"> that </w:t>
      </w:r>
      <w:r w:rsidR="0066030E">
        <w:rPr>
          <w:rFonts w:cs="Arial"/>
        </w:rPr>
        <w:t xml:space="preserve">define how we will respond to patients </w:t>
      </w:r>
      <w:r w:rsidR="006A1BAA">
        <w:rPr>
          <w:rFonts w:cs="Arial"/>
        </w:rPr>
        <w:t xml:space="preserve">with varying health conditions </w:t>
      </w:r>
      <w:proofErr w:type="gramStart"/>
      <w:r w:rsidR="006A1BAA">
        <w:rPr>
          <w:rFonts w:cs="Arial"/>
        </w:rPr>
        <w:t>in order to</w:t>
      </w:r>
      <w:proofErr w:type="gramEnd"/>
      <w:r w:rsidR="006A1BAA">
        <w:rPr>
          <w:rFonts w:cs="Arial"/>
        </w:rPr>
        <w:t xml:space="preserve"> provide high quality patient care that meets the needs of each patient and the wider community</w:t>
      </w:r>
      <w:r w:rsidR="00586457" w:rsidRPr="003E13B3">
        <w:rPr>
          <w:rFonts w:cs="Arial"/>
        </w:rPr>
        <w:t>.</w:t>
      </w:r>
      <w:bookmarkEnd w:id="2"/>
      <w:bookmarkEnd w:id="3"/>
      <w:r w:rsidR="00586457" w:rsidRPr="003E13B3">
        <w:rPr>
          <w:rFonts w:cs="Arial"/>
        </w:rPr>
        <w:t xml:space="preserve"> </w:t>
      </w:r>
      <w:r w:rsidR="006A1BAA">
        <w:rPr>
          <w:rFonts w:cs="Arial"/>
        </w:rPr>
        <w:t>This policy and procedure aligns to the Model of Care for Falls, Frailty and Older People.</w:t>
      </w:r>
    </w:p>
    <w:p w14:paraId="507E0023" w14:textId="1101795B" w:rsidR="008D35F0" w:rsidRPr="003E13B3" w:rsidRDefault="00D9125C" w:rsidP="003E13B3">
      <w:pPr>
        <w:numPr>
          <w:ilvl w:val="1"/>
          <w:numId w:val="8"/>
        </w:numPr>
        <w:spacing w:after="240"/>
        <w:rPr>
          <w:rFonts w:cs="Arial"/>
        </w:rPr>
      </w:pPr>
      <w:bookmarkStart w:id="4" w:name="_Toc517087502"/>
      <w:bookmarkStart w:id="5" w:name="_Toc517104363"/>
      <w:r>
        <w:rPr>
          <w:rFonts w:cs="Arial"/>
        </w:rPr>
        <w:t xml:space="preserve">The Trust is committed to integrating volunteers into our </w:t>
      </w:r>
      <w:r w:rsidR="00D71F5D">
        <w:rPr>
          <w:rFonts w:cs="Arial"/>
        </w:rPr>
        <w:t>clinical operating models</w:t>
      </w:r>
      <w:r w:rsidR="00BC5CC0">
        <w:rPr>
          <w:rFonts w:cs="Arial"/>
        </w:rPr>
        <w:t xml:space="preserve"> </w:t>
      </w:r>
      <w:r w:rsidR="00FB5776">
        <w:rPr>
          <w:rFonts w:cs="Arial"/>
        </w:rPr>
        <w:t>where this</w:t>
      </w:r>
      <w:r w:rsidR="00BC5CC0">
        <w:rPr>
          <w:rFonts w:cs="Arial"/>
        </w:rPr>
        <w:t xml:space="preserve"> enhances our community resilience and </w:t>
      </w:r>
      <w:proofErr w:type="gramStart"/>
      <w:r w:rsidR="00BC5CC0">
        <w:rPr>
          <w:rFonts w:cs="Arial"/>
        </w:rPr>
        <w:t>engagement, and</w:t>
      </w:r>
      <w:proofErr w:type="gramEnd"/>
      <w:r w:rsidR="00BC5CC0">
        <w:rPr>
          <w:rFonts w:cs="Arial"/>
        </w:rPr>
        <w:t xml:space="preserve"> </w:t>
      </w:r>
      <w:r w:rsidR="00FB5776">
        <w:rPr>
          <w:rFonts w:cs="Arial"/>
        </w:rPr>
        <w:t>supports the provision of timely and appropriate patient care</w:t>
      </w:r>
      <w:r w:rsidR="008D35F0">
        <w:rPr>
          <w:rFonts w:cs="Arial"/>
        </w:rPr>
        <w:t>.</w:t>
      </w:r>
      <w:bookmarkEnd w:id="4"/>
      <w:bookmarkEnd w:id="5"/>
    </w:p>
    <w:p w14:paraId="0CD80D78" w14:textId="26DA98FB" w:rsidR="008D35F0" w:rsidRPr="003E13B3" w:rsidRDefault="00B6568B" w:rsidP="003E13B3">
      <w:pPr>
        <w:numPr>
          <w:ilvl w:val="1"/>
          <w:numId w:val="8"/>
        </w:numPr>
        <w:spacing w:after="240"/>
        <w:rPr>
          <w:rFonts w:cs="Arial"/>
        </w:rPr>
      </w:pPr>
      <w:bookmarkStart w:id="6" w:name="_Toc517087503"/>
      <w:bookmarkStart w:id="7" w:name="_Toc517104364"/>
      <w:r w:rsidRPr="00045048">
        <w:rPr>
          <w:rFonts w:cs="Arial"/>
          <w:bCs/>
        </w:rPr>
        <w:t xml:space="preserve">This </w:t>
      </w:r>
      <w:r>
        <w:rPr>
          <w:rFonts w:cs="Arial"/>
          <w:bCs/>
        </w:rPr>
        <w:t>document</w:t>
      </w:r>
      <w:r w:rsidRPr="00045048">
        <w:rPr>
          <w:rFonts w:cs="Arial"/>
          <w:bCs/>
        </w:rPr>
        <w:t xml:space="preserve"> is applicable to</w:t>
      </w:r>
      <w:r>
        <w:rPr>
          <w:rFonts w:cs="Arial"/>
          <w:bCs/>
        </w:rPr>
        <w:t xml:space="preserve"> </w:t>
      </w:r>
      <w:r>
        <w:rPr>
          <w:rFonts w:cs="Arial"/>
        </w:rPr>
        <w:t xml:space="preserve">all clinicians in the Trust, volunteers and members of associated organisations that will respond to this cohort of patients on behalf of the Trust and sets out the scope </w:t>
      </w:r>
      <w:r w:rsidR="00FB5678">
        <w:rPr>
          <w:rFonts w:cs="Arial"/>
        </w:rPr>
        <w:t>for volunteer responses to falls</w:t>
      </w:r>
      <w:r w:rsidR="00BC2B4E">
        <w:rPr>
          <w:rFonts w:cs="Arial"/>
        </w:rPr>
        <w:t xml:space="preserve"> and the processes which must be followed</w:t>
      </w:r>
      <w:r w:rsidR="008D35F0">
        <w:rPr>
          <w:rFonts w:cs="Arial"/>
        </w:rPr>
        <w:t>.</w:t>
      </w:r>
      <w:bookmarkEnd w:id="6"/>
      <w:bookmarkEnd w:id="7"/>
    </w:p>
    <w:p w14:paraId="57896466" w14:textId="77777777" w:rsidR="00C403A0" w:rsidRPr="00640176" w:rsidRDefault="00C403A0" w:rsidP="00C403A0">
      <w:pPr>
        <w:numPr>
          <w:ilvl w:val="0"/>
          <w:numId w:val="2"/>
        </w:numPr>
        <w:tabs>
          <w:tab w:val="left" w:pos="1162"/>
        </w:tabs>
        <w:spacing w:before="360" w:after="240"/>
        <w:outlineLvl w:val="0"/>
        <w:rPr>
          <w:rFonts w:cs="Arial"/>
          <w:b/>
          <w:bCs/>
          <w:sz w:val="28"/>
          <w:szCs w:val="28"/>
        </w:rPr>
      </w:pPr>
      <w:bookmarkStart w:id="8" w:name="_Toc45620359"/>
      <w:r w:rsidRPr="00640176">
        <w:rPr>
          <w:rFonts w:cs="Arial"/>
          <w:b/>
          <w:bCs/>
          <w:sz w:val="28"/>
          <w:szCs w:val="28"/>
        </w:rPr>
        <w:t>Principles</w:t>
      </w:r>
      <w:bookmarkEnd w:id="8"/>
    </w:p>
    <w:p w14:paraId="4CDD728C" w14:textId="3B6060DC" w:rsidR="008D35F0" w:rsidRDefault="00892F9C" w:rsidP="00C403A0">
      <w:pPr>
        <w:numPr>
          <w:ilvl w:val="1"/>
          <w:numId w:val="8"/>
        </w:numPr>
        <w:spacing w:after="240"/>
        <w:rPr>
          <w:rFonts w:cs="Arial"/>
        </w:rPr>
      </w:pPr>
      <w:r>
        <w:rPr>
          <w:rFonts w:cs="Arial"/>
        </w:rPr>
        <w:t>The Trust will respond, in partnership with other agencies, to these patients in a timely manner, whilst paying due regard to the Ambulance Response Programme performance standards</w:t>
      </w:r>
      <w:r w:rsidR="008B4D54">
        <w:rPr>
          <w:rFonts w:cs="Arial"/>
        </w:rPr>
        <w:t>, Ambulance Quality Indicator requirements and the Trust’s Models of Care</w:t>
      </w:r>
      <w:r>
        <w:rPr>
          <w:rFonts w:cs="Arial"/>
        </w:rPr>
        <w:t>. By using this type of model, the Trust aims to minimise the time that these patients are left on the floor</w:t>
      </w:r>
      <w:r w:rsidR="00C403A0" w:rsidRPr="0043622D">
        <w:rPr>
          <w:rFonts w:cs="Arial"/>
        </w:rPr>
        <w:t>.</w:t>
      </w:r>
    </w:p>
    <w:p w14:paraId="10C582A4" w14:textId="77777777" w:rsidR="00D61B89" w:rsidRDefault="54FA0D38" w:rsidP="00D61B89">
      <w:pPr>
        <w:numPr>
          <w:ilvl w:val="1"/>
          <w:numId w:val="8"/>
        </w:numPr>
        <w:spacing w:after="240"/>
        <w:rPr>
          <w:rFonts w:cs="Arial"/>
        </w:rPr>
      </w:pPr>
      <w:r w:rsidRPr="0ECD2AEB">
        <w:rPr>
          <w:rFonts w:cs="Arial"/>
        </w:rPr>
        <w:t>The Trust and other agencies involved recognise that the effect of being on the floor for more than 30 minutes is a point at which the risk profile increases for these patients and they begin to suffer further harm including, but not limited to the following:</w:t>
      </w:r>
    </w:p>
    <w:p w14:paraId="04317871" w14:textId="77777777" w:rsidR="00D61B89" w:rsidRDefault="00D61B89" w:rsidP="00D61B89">
      <w:pPr>
        <w:numPr>
          <w:ilvl w:val="3"/>
          <w:numId w:val="25"/>
        </w:numPr>
        <w:spacing w:after="240"/>
        <w:rPr>
          <w:rFonts w:cs="Arial"/>
        </w:rPr>
      </w:pPr>
      <w:r>
        <w:rPr>
          <w:rFonts w:cs="Arial"/>
        </w:rPr>
        <w:t xml:space="preserve">Tissue Viability issues (pressure wounds) </w:t>
      </w:r>
    </w:p>
    <w:p w14:paraId="78E636A1" w14:textId="77777777" w:rsidR="00D61B89" w:rsidRDefault="00D61B89" w:rsidP="00D61B89">
      <w:pPr>
        <w:numPr>
          <w:ilvl w:val="3"/>
          <w:numId w:val="25"/>
        </w:numPr>
        <w:spacing w:after="240"/>
        <w:rPr>
          <w:rFonts w:cs="Arial"/>
        </w:rPr>
      </w:pPr>
      <w:r>
        <w:rPr>
          <w:rFonts w:cs="Arial"/>
        </w:rPr>
        <w:t xml:space="preserve">Burns from external heat sources and urine </w:t>
      </w:r>
    </w:p>
    <w:p w14:paraId="32CAA571" w14:textId="77777777" w:rsidR="00D61B89" w:rsidRDefault="00D61B89" w:rsidP="00D61B89">
      <w:pPr>
        <w:numPr>
          <w:ilvl w:val="3"/>
          <w:numId w:val="25"/>
        </w:numPr>
        <w:spacing w:after="240"/>
        <w:rPr>
          <w:rFonts w:cs="Arial"/>
        </w:rPr>
      </w:pPr>
      <w:r>
        <w:rPr>
          <w:rFonts w:cs="Arial"/>
        </w:rPr>
        <w:t xml:space="preserve">Faecal incontinence </w:t>
      </w:r>
    </w:p>
    <w:p w14:paraId="2339A98F" w14:textId="77777777" w:rsidR="00D61B89" w:rsidRDefault="00D61B89" w:rsidP="00D61B89">
      <w:pPr>
        <w:numPr>
          <w:ilvl w:val="3"/>
          <w:numId w:val="25"/>
        </w:numPr>
        <w:spacing w:after="240"/>
        <w:rPr>
          <w:rFonts w:cs="Arial"/>
        </w:rPr>
      </w:pPr>
      <w:r>
        <w:rPr>
          <w:rFonts w:cs="Arial"/>
        </w:rPr>
        <w:t xml:space="preserve">Pneumonia </w:t>
      </w:r>
    </w:p>
    <w:p w14:paraId="762A8DB1" w14:textId="77777777" w:rsidR="00D61B89" w:rsidRDefault="00D61B89" w:rsidP="00D61B89">
      <w:pPr>
        <w:numPr>
          <w:ilvl w:val="3"/>
          <w:numId w:val="25"/>
        </w:numPr>
        <w:spacing w:after="240"/>
        <w:rPr>
          <w:rFonts w:cs="Arial"/>
        </w:rPr>
      </w:pPr>
      <w:r>
        <w:rPr>
          <w:rFonts w:cs="Arial"/>
        </w:rPr>
        <w:t xml:space="preserve">Rhabdomyolysis </w:t>
      </w:r>
    </w:p>
    <w:p w14:paraId="04A1CFDC" w14:textId="77777777" w:rsidR="00D61B89" w:rsidRDefault="00D61B89" w:rsidP="00D61B89">
      <w:pPr>
        <w:numPr>
          <w:ilvl w:val="3"/>
          <w:numId w:val="25"/>
        </w:numPr>
        <w:spacing w:after="240"/>
        <w:rPr>
          <w:rFonts w:cs="Arial"/>
        </w:rPr>
      </w:pPr>
      <w:r>
        <w:rPr>
          <w:rFonts w:cs="Arial"/>
        </w:rPr>
        <w:t xml:space="preserve">Psychological harm </w:t>
      </w:r>
    </w:p>
    <w:p w14:paraId="6680485D" w14:textId="2563E701" w:rsidR="00B94C1F" w:rsidRPr="00D61B89" w:rsidRDefault="00D61B89" w:rsidP="00D61B89">
      <w:pPr>
        <w:numPr>
          <w:ilvl w:val="3"/>
          <w:numId w:val="25"/>
        </w:numPr>
        <w:spacing w:after="240"/>
        <w:rPr>
          <w:rFonts w:cs="Arial"/>
        </w:rPr>
      </w:pPr>
      <w:r w:rsidRPr="00D61B89">
        <w:rPr>
          <w:rFonts w:cs="Arial"/>
        </w:rPr>
        <w:lastRenderedPageBreak/>
        <w:t>Mobility loss</w:t>
      </w:r>
    </w:p>
    <w:p w14:paraId="6264FA04" w14:textId="2FE69AA4" w:rsidR="00B94C1F" w:rsidRDefault="00FB7B3E" w:rsidP="00B94C1F">
      <w:pPr>
        <w:numPr>
          <w:ilvl w:val="1"/>
          <w:numId w:val="8"/>
        </w:numPr>
        <w:spacing w:after="240"/>
        <w:rPr>
          <w:rFonts w:cs="Arial"/>
        </w:rPr>
      </w:pPr>
      <w:r>
        <w:rPr>
          <w:rFonts w:cs="Arial"/>
        </w:rPr>
        <w:t>The Trust will ensure an appropriate approach to care for these patients utilising a range of response methodologies, including virtual care and physical responses by clinicians</w:t>
      </w:r>
      <w:r w:rsidR="0081123D">
        <w:rPr>
          <w:rFonts w:cs="Arial"/>
        </w:rPr>
        <w:t xml:space="preserve">, </w:t>
      </w:r>
      <w:r w:rsidR="00FA389A">
        <w:rPr>
          <w:rFonts w:cs="Arial"/>
        </w:rPr>
        <w:t xml:space="preserve">other non-clinical </w:t>
      </w:r>
      <w:r w:rsidR="00BA76A7">
        <w:rPr>
          <w:rFonts w:cs="Arial"/>
        </w:rPr>
        <w:t xml:space="preserve">commissioned </w:t>
      </w:r>
      <w:r w:rsidR="005449C1">
        <w:rPr>
          <w:rFonts w:cs="Arial"/>
        </w:rPr>
        <w:t>services</w:t>
      </w:r>
      <w:r>
        <w:rPr>
          <w:rFonts w:cs="Arial"/>
        </w:rPr>
        <w:t xml:space="preserve"> and/or suitably trained </w:t>
      </w:r>
      <w:r w:rsidR="005449C1">
        <w:rPr>
          <w:rFonts w:cs="Arial"/>
        </w:rPr>
        <w:t xml:space="preserve">ambulance </w:t>
      </w:r>
      <w:r>
        <w:rPr>
          <w:rFonts w:cs="Arial"/>
        </w:rPr>
        <w:t>volunteers</w:t>
      </w:r>
      <w:r w:rsidR="008D35F0">
        <w:rPr>
          <w:rFonts w:cs="Arial"/>
        </w:rPr>
        <w:t xml:space="preserve">. </w:t>
      </w:r>
    </w:p>
    <w:p w14:paraId="083DE2CA" w14:textId="0FBFED53" w:rsidR="00FB7B3E" w:rsidRDefault="00FB7B3E" w:rsidP="00B94C1F">
      <w:pPr>
        <w:numPr>
          <w:ilvl w:val="1"/>
          <w:numId w:val="8"/>
        </w:numPr>
        <w:spacing w:after="240"/>
        <w:rPr>
          <w:rFonts w:cs="Arial"/>
        </w:rPr>
      </w:pPr>
      <w:r>
        <w:rPr>
          <w:rFonts w:cs="Arial"/>
        </w:rPr>
        <w:t>In some cases, volunteers will provide a primary response</w:t>
      </w:r>
      <w:r w:rsidR="00BB385F">
        <w:rPr>
          <w:rFonts w:cs="Arial"/>
        </w:rPr>
        <w:t xml:space="preserve"> to provide initial assessment and interventions (including lifting </w:t>
      </w:r>
      <w:r w:rsidR="00B65E5A">
        <w:rPr>
          <w:rFonts w:cs="Arial"/>
        </w:rPr>
        <w:t xml:space="preserve">patients from the floor) prior to, or in place of, an ambulance response. </w:t>
      </w:r>
      <w:r w:rsidR="00A46551">
        <w:rPr>
          <w:rFonts w:cs="Arial"/>
        </w:rPr>
        <w:t>In all cases a further assessment will be undertaken by Trust clinicians, either in-person or remotely.</w:t>
      </w:r>
    </w:p>
    <w:p w14:paraId="0E734BEA" w14:textId="718CB56B" w:rsidR="00AE3429" w:rsidRDefault="00AE3429" w:rsidP="00B94C1F">
      <w:pPr>
        <w:numPr>
          <w:ilvl w:val="1"/>
          <w:numId w:val="8"/>
        </w:numPr>
        <w:spacing w:after="240"/>
        <w:rPr>
          <w:rFonts w:cs="Arial"/>
        </w:rPr>
      </w:pPr>
      <w:r>
        <w:rPr>
          <w:rFonts w:cs="Arial"/>
        </w:rPr>
        <w:t>Where a volunteer is unable to safely lift the patient from the floor due to injury, illness, or other factors a Trust resource will be dispatched as per the Trust’s dispatch Standard Operating Procedure.</w:t>
      </w:r>
    </w:p>
    <w:p w14:paraId="5BE5EC69" w14:textId="6ECF0DCC" w:rsidR="003E5C22" w:rsidRDefault="00206584" w:rsidP="00B94C1F">
      <w:pPr>
        <w:numPr>
          <w:ilvl w:val="1"/>
          <w:numId w:val="8"/>
        </w:numPr>
        <w:spacing w:after="240"/>
        <w:rPr>
          <w:rFonts w:cs="Arial"/>
        </w:rPr>
      </w:pPr>
      <w:r>
        <w:rPr>
          <w:rFonts w:cs="Arial"/>
        </w:rPr>
        <w:t>In all cases</w:t>
      </w:r>
      <w:r w:rsidR="00291986">
        <w:rPr>
          <w:rFonts w:cs="Arial"/>
        </w:rPr>
        <w:t xml:space="preserve">, </w:t>
      </w:r>
      <w:r w:rsidR="001503E7">
        <w:rPr>
          <w:rFonts w:cs="Arial"/>
        </w:rPr>
        <w:t>the volunteer will be able to provide a primary assessment of the patient, identify any immediate concerns which need escalating for a higher priority clinical response, and apply</w:t>
      </w:r>
      <w:r w:rsidR="00C60AE3">
        <w:rPr>
          <w:rFonts w:cs="Arial"/>
        </w:rPr>
        <w:t xml:space="preserve"> comfort measures such as meeting hydration needs, </w:t>
      </w:r>
      <w:r w:rsidR="007437E4">
        <w:rPr>
          <w:rFonts w:cs="Arial"/>
        </w:rPr>
        <w:t xml:space="preserve">repositioning, and </w:t>
      </w:r>
      <w:r w:rsidR="00191627">
        <w:rPr>
          <w:rFonts w:cs="Arial"/>
        </w:rPr>
        <w:t xml:space="preserve">padding pressure areas. They will not, however, provide intimate personal care </w:t>
      </w:r>
      <w:r w:rsidR="00B07021">
        <w:rPr>
          <w:rFonts w:cs="Arial"/>
        </w:rPr>
        <w:t>which is outside their scope.</w:t>
      </w:r>
    </w:p>
    <w:p w14:paraId="1FF42C72" w14:textId="460629C0" w:rsidR="0042510A" w:rsidRDefault="0042510A" w:rsidP="00B94C1F">
      <w:pPr>
        <w:numPr>
          <w:ilvl w:val="1"/>
          <w:numId w:val="8"/>
        </w:numPr>
        <w:spacing w:after="240"/>
        <w:rPr>
          <w:rFonts w:cs="Arial"/>
        </w:rPr>
      </w:pPr>
      <w:r>
        <w:rPr>
          <w:rFonts w:cs="Arial"/>
        </w:rPr>
        <w:t>It is recognised that volunteers also have an important role to play in falls prevention advice, however that falls outside the scope of this policy and procedure.</w:t>
      </w:r>
    </w:p>
    <w:p w14:paraId="59A9C6A9" w14:textId="77777777" w:rsidR="00C403A0" w:rsidRPr="0040381C" w:rsidRDefault="00C403A0" w:rsidP="00C403A0">
      <w:pPr>
        <w:numPr>
          <w:ilvl w:val="0"/>
          <w:numId w:val="2"/>
        </w:numPr>
        <w:tabs>
          <w:tab w:val="left" w:pos="1162"/>
        </w:tabs>
        <w:spacing w:before="360" w:after="240"/>
        <w:outlineLvl w:val="0"/>
        <w:rPr>
          <w:rFonts w:cs="Arial"/>
          <w:b/>
          <w:bCs/>
          <w:sz w:val="28"/>
          <w:szCs w:val="28"/>
        </w:rPr>
      </w:pPr>
      <w:bookmarkStart w:id="9" w:name="_Toc45620360"/>
      <w:bookmarkStart w:id="10" w:name="PolicyDefinitions"/>
      <w:r w:rsidRPr="0040381C">
        <w:rPr>
          <w:rFonts w:cs="Arial"/>
          <w:b/>
          <w:bCs/>
          <w:sz w:val="28"/>
          <w:szCs w:val="28"/>
        </w:rPr>
        <w:t>Definitions</w:t>
      </w:r>
      <w:bookmarkEnd w:id="9"/>
    </w:p>
    <w:bookmarkEnd w:id="10"/>
    <w:p w14:paraId="1382D4A4" w14:textId="11FD9045" w:rsidR="008926E2" w:rsidRDefault="008926E2" w:rsidP="00C403A0">
      <w:pPr>
        <w:numPr>
          <w:ilvl w:val="1"/>
          <w:numId w:val="8"/>
        </w:numPr>
        <w:spacing w:after="240"/>
        <w:rPr>
          <w:rFonts w:cs="Arial"/>
        </w:rPr>
      </w:pPr>
      <w:r>
        <w:rPr>
          <w:rFonts w:cs="Arial"/>
        </w:rPr>
        <w:t>Clinician – an individual with a</w:t>
      </w:r>
      <w:r w:rsidR="000E3CCB">
        <w:rPr>
          <w:rFonts w:cs="Arial"/>
        </w:rPr>
        <w:t xml:space="preserve"> qualification </w:t>
      </w:r>
      <w:r w:rsidR="004A4F69">
        <w:rPr>
          <w:rFonts w:cs="Arial"/>
        </w:rPr>
        <w:t xml:space="preserve">which has been accepted by the Trust to provide a clinical response to patients </w:t>
      </w:r>
      <w:r w:rsidR="00964F91">
        <w:rPr>
          <w:rFonts w:cs="Arial"/>
        </w:rPr>
        <w:t>within an agreed scope of practice.</w:t>
      </w:r>
    </w:p>
    <w:p w14:paraId="18F71A22" w14:textId="7D5962F5" w:rsidR="006C654F" w:rsidRDefault="0077150C" w:rsidP="00C403A0">
      <w:pPr>
        <w:numPr>
          <w:ilvl w:val="1"/>
          <w:numId w:val="8"/>
        </w:numPr>
        <w:spacing w:after="240"/>
        <w:rPr>
          <w:rFonts w:cs="Arial"/>
        </w:rPr>
      </w:pPr>
      <w:r>
        <w:rPr>
          <w:rFonts w:cs="Arial"/>
        </w:rPr>
        <w:t>C</w:t>
      </w:r>
      <w:r w:rsidR="00FA389A">
        <w:rPr>
          <w:rFonts w:cs="Arial"/>
        </w:rPr>
        <w:t>ommissioned services</w:t>
      </w:r>
      <w:r w:rsidR="00516083">
        <w:rPr>
          <w:rFonts w:cs="Arial"/>
        </w:rPr>
        <w:t xml:space="preserve"> (including Community Falls Teams)</w:t>
      </w:r>
      <w:r w:rsidR="007E5BD0">
        <w:rPr>
          <w:rFonts w:cs="Arial"/>
        </w:rPr>
        <w:t xml:space="preserve"> </w:t>
      </w:r>
      <w:r w:rsidR="0051771A">
        <w:rPr>
          <w:rFonts w:cs="Arial"/>
        </w:rPr>
        <w:t>–</w:t>
      </w:r>
      <w:r w:rsidR="007E5BD0">
        <w:rPr>
          <w:rFonts w:cs="Arial"/>
        </w:rPr>
        <w:t xml:space="preserve"> </w:t>
      </w:r>
      <w:r w:rsidR="004C16DD">
        <w:rPr>
          <w:rFonts w:cs="Arial"/>
        </w:rPr>
        <w:t xml:space="preserve">health and </w:t>
      </w:r>
      <w:r w:rsidR="0051771A">
        <w:rPr>
          <w:rFonts w:cs="Arial"/>
        </w:rPr>
        <w:t>social</w:t>
      </w:r>
      <w:r w:rsidR="004C16DD">
        <w:rPr>
          <w:rFonts w:cs="Arial"/>
        </w:rPr>
        <w:t xml:space="preserve"> care commissioned services providing </w:t>
      </w:r>
      <w:r w:rsidR="00813F10">
        <w:rPr>
          <w:rFonts w:cs="Arial"/>
        </w:rPr>
        <w:t xml:space="preserve">a physical </w:t>
      </w:r>
      <w:r w:rsidR="00C53D2E">
        <w:rPr>
          <w:rFonts w:cs="Arial"/>
        </w:rPr>
        <w:t>response</w:t>
      </w:r>
      <w:r w:rsidR="00173716">
        <w:rPr>
          <w:rFonts w:cs="Arial"/>
        </w:rPr>
        <w:t xml:space="preserve"> and </w:t>
      </w:r>
      <w:r w:rsidR="00C077C6">
        <w:rPr>
          <w:rFonts w:cs="Arial"/>
        </w:rPr>
        <w:t xml:space="preserve">initial well-being </w:t>
      </w:r>
      <w:r w:rsidR="00173716">
        <w:rPr>
          <w:rFonts w:cs="Arial"/>
        </w:rPr>
        <w:t>assessment</w:t>
      </w:r>
      <w:r w:rsidR="00C077C6">
        <w:rPr>
          <w:rFonts w:cs="Arial"/>
        </w:rPr>
        <w:t xml:space="preserve"> for non</w:t>
      </w:r>
      <w:r w:rsidR="00716529">
        <w:rPr>
          <w:rFonts w:cs="Arial"/>
        </w:rPr>
        <w:t>–</w:t>
      </w:r>
      <w:r w:rsidR="00C077C6">
        <w:rPr>
          <w:rFonts w:cs="Arial"/>
        </w:rPr>
        <w:t>injury</w:t>
      </w:r>
      <w:r w:rsidR="00716529">
        <w:rPr>
          <w:rFonts w:cs="Arial"/>
        </w:rPr>
        <w:t xml:space="preserve"> fallers</w:t>
      </w:r>
      <w:r w:rsidR="00A35664">
        <w:rPr>
          <w:rFonts w:cs="Arial"/>
        </w:rPr>
        <w:t xml:space="preserve"> </w:t>
      </w:r>
      <w:r w:rsidR="00444BA4">
        <w:rPr>
          <w:rFonts w:cs="Arial"/>
        </w:rPr>
        <w:t>such as Mole Valley Life Community Wellbeing Respon</w:t>
      </w:r>
      <w:r w:rsidR="00BF1C44">
        <w:rPr>
          <w:rFonts w:cs="Arial"/>
        </w:rPr>
        <w:t>ders</w:t>
      </w:r>
      <w:r w:rsidR="00516083">
        <w:rPr>
          <w:rFonts w:cs="Arial"/>
        </w:rPr>
        <w:t xml:space="preserve"> (CWR)</w:t>
      </w:r>
      <w:r w:rsidR="007C58E9">
        <w:rPr>
          <w:rFonts w:cs="Arial"/>
        </w:rPr>
        <w:t>.</w:t>
      </w:r>
    </w:p>
    <w:p w14:paraId="27B017E6" w14:textId="77777777" w:rsidR="00516083" w:rsidRDefault="00516083" w:rsidP="00516083">
      <w:pPr>
        <w:numPr>
          <w:ilvl w:val="1"/>
          <w:numId w:val="8"/>
        </w:numPr>
        <w:spacing w:after="240"/>
        <w:rPr>
          <w:rFonts w:cs="Arial"/>
        </w:rPr>
      </w:pPr>
      <w:r>
        <w:rPr>
          <w:rFonts w:cs="Arial"/>
        </w:rPr>
        <w:t>Staff – used within this procedure to differentiate a paid employee of the Trust from an unpaid volunteer.</w:t>
      </w:r>
    </w:p>
    <w:p w14:paraId="29919F5C" w14:textId="77777777" w:rsidR="00516083" w:rsidRDefault="00516083" w:rsidP="00516083">
      <w:pPr>
        <w:numPr>
          <w:ilvl w:val="1"/>
          <w:numId w:val="8"/>
        </w:numPr>
        <w:spacing w:after="240"/>
        <w:rPr>
          <w:rFonts w:cs="Arial"/>
        </w:rPr>
      </w:pPr>
      <w:r>
        <w:rPr>
          <w:rFonts w:cs="Arial"/>
        </w:rPr>
        <w:t>Volunteer – an individual recruited and appointed by the Trust to undertake a defined role but without financial renumeration, for example Community First Responder (CFR).</w:t>
      </w:r>
    </w:p>
    <w:p w14:paraId="529B46DD" w14:textId="77777777" w:rsidR="00516083" w:rsidRDefault="00516083" w:rsidP="00516083">
      <w:pPr>
        <w:numPr>
          <w:ilvl w:val="1"/>
          <w:numId w:val="8"/>
        </w:numPr>
        <w:spacing w:after="240"/>
        <w:rPr>
          <w:rFonts w:cs="Arial"/>
        </w:rPr>
      </w:pPr>
      <w:r>
        <w:rPr>
          <w:rFonts w:cs="Arial"/>
        </w:rPr>
        <w:t>Volunteer Responder – a non-clinical individual dispatched by the Trust to respond to patients. This may include Trust-appointed volunteers, or paid staff from partner agencies working on behalf of the Trust under a formal agreement, who are responding incidentally to their primary role (for example Fire and Rescue Service or military co-responders).</w:t>
      </w:r>
    </w:p>
    <w:p w14:paraId="59E2B8D2" w14:textId="3102C307" w:rsidR="00C403A0" w:rsidRDefault="00462FAC" w:rsidP="00C403A0">
      <w:pPr>
        <w:numPr>
          <w:ilvl w:val="1"/>
          <w:numId w:val="8"/>
        </w:numPr>
        <w:spacing w:after="240"/>
        <w:rPr>
          <w:rFonts w:cs="Arial"/>
        </w:rPr>
      </w:pPr>
      <w:r>
        <w:rPr>
          <w:rFonts w:cs="Arial"/>
        </w:rPr>
        <w:lastRenderedPageBreak/>
        <w:t>Fall / fallen patient – refers to patients who have experienced a low energy fall, such as those typically experienced in the home or other domiciliary setting. Excludes high energy trauma such as falls from height</w:t>
      </w:r>
      <w:r w:rsidR="005473E0">
        <w:rPr>
          <w:rFonts w:cs="Arial"/>
        </w:rPr>
        <w:t>.</w:t>
      </w:r>
    </w:p>
    <w:p w14:paraId="5DD624C1" w14:textId="74BAA26F" w:rsidR="24CF317A" w:rsidRDefault="24CF317A" w:rsidP="1921915F">
      <w:pPr>
        <w:numPr>
          <w:ilvl w:val="1"/>
          <w:numId w:val="8"/>
        </w:numPr>
        <w:spacing w:after="240"/>
        <w:rPr>
          <w:rFonts w:eastAsia="Arial" w:cs="Arial"/>
          <w:szCs w:val="24"/>
        </w:rPr>
      </w:pPr>
      <w:r w:rsidRPr="1921915F">
        <w:rPr>
          <w:rFonts w:cs="Arial"/>
        </w:rPr>
        <w:t xml:space="preserve">Remote clinical </w:t>
      </w:r>
      <w:r w:rsidR="54B520AB" w:rsidRPr="1921915F">
        <w:rPr>
          <w:rFonts w:cs="Arial"/>
        </w:rPr>
        <w:t>consultation</w:t>
      </w:r>
      <w:r w:rsidR="006B6D38">
        <w:rPr>
          <w:rFonts w:cs="Arial"/>
        </w:rPr>
        <w:t xml:space="preserve"> (also known as virtual consultation)</w:t>
      </w:r>
      <w:r w:rsidRPr="1921915F">
        <w:rPr>
          <w:rFonts w:cs="Arial"/>
        </w:rPr>
        <w:t xml:space="preserve"> </w:t>
      </w:r>
      <w:r w:rsidR="50C1181E" w:rsidRPr="1921915F">
        <w:rPr>
          <w:rFonts w:cs="Arial"/>
        </w:rPr>
        <w:t>–</w:t>
      </w:r>
      <w:r w:rsidRPr="1921915F">
        <w:rPr>
          <w:rFonts w:cs="Arial"/>
        </w:rPr>
        <w:t xml:space="preserve"> </w:t>
      </w:r>
      <w:r w:rsidR="002173D7" w:rsidRPr="1921915F">
        <w:rPr>
          <w:rFonts w:eastAsia="Arial" w:cs="Arial"/>
          <w:szCs w:val="24"/>
        </w:rPr>
        <w:t>refers to clinicians providing assessment, advice, or support to patients over the phone or via video call, rather than attending in person. It supports timely clinical decision-making, helps manage demand on frontline resources, and ensures patients are directed to the most appropriate care without unnecessary hospital conveyance.</w:t>
      </w:r>
    </w:p>
    <w:p w14:paraId="69D940C1" w14:textId="77777777" w:rsidR="0040381C" w:rsidRPr="0040381C" w:rsidRDefault="0040381C" w:rsidP="00C35D40">
      <w:pPr>
        <w:numPr>
          <w:ilvl w:val="0"/>
          <w:numId w:val="2"/>
        </w:numPr>
        <w:tabs>
          <w:tab w:val="left" w:pos="1162"/>
        </w:tabs>
        <w:spacing w:before="360" w:after="240"/>
        <w:outlineLvl w:val="0"/>
        <w:rPr>
          <w:rFonts w:cs="Arial"/>
          <w:b/>
          <w:bCs/>
          <w:sz w:val="28"/>
          <w:szCs w:val="28"/>
        </w:rPr>
      </w:pPr>
      <w:bookmarkStart w:id="11" w:name="_Toc45620361"/>
      <w:r w:rsidRPr="0040381C">
        <w:rPr>
          <w:rFonts w:cs="Arial"/>
          <w:b/>
          <w:bCs/>
          <w:sz w:val="28"/>
          <w:szCs w:val="28"/>
        </w:rPr>
        <w:t>Responsibilities</w:t>
      </w:r>
      <w:bookmarkEnd w:id="11"/>
      <w:r w:rsidRPr="0040381C">
        <w:rPr>
          <w:rFonts w:cs="Arial"/>
          <w:b/>
          <w:bCs/>
          <w:sz w:val="28"/>
          <w:szCs w:val="28"/>
        </w:rPr>
        <w:t xml:space="preserve">  </w:t>
      </w:r>
    </w:p>
    <w:p w14:paraId="379B6308" w14:textId="49465081" w:rsidR="001255E9" w:rsidRDefault="001255E9" w:rsidP="00C35D40">
      <w:pPr>
        <w:numPr>
          <w:ilvl w:val="1"/>
          <w:numId w:val="8"/>
        </w:numPr>
        <w:spacing w:after="240"/>
        <w:rPr>
          <w:rFonts w:cs="Arial"/>
        </w:rPr>
      </w:pPr>
      <w:r>
        <w:rPr>
          <w:rFonts w:cs="Arial"/>
        </w:rPr>
        <w:t xml:space="preserve">The </w:t>
      </w:r>
      <w:r w:rsidRPr="00EE1EC5">
        <w:rPr>
          <w:rFonts w:cs="Arial"/>
          <w:b/>
          <w:bCs/>
        </w:rPr>
        <w:t>Chief Executive Officer (CEO)</w:t>
      </w:r>
      <w:r>
        <w:rPr>
          <w:rFonts w:cs="Arial"/>
        </w:rPr>
        <w:t xml:space="preserve"> has overall accountability for the delivery of the Trust strategy and the </w:t>
      </w:r>
      <w:r w:rsidR="00B04ACD">
        <w:rPr>
          <w:rFonts w:cs="Arial"/>
        </w:rPr>
        <w:t>services provided by the Trust.</w:t>
      </w:r>
    </w:p>
    <w:p w14:paraId="5DB4F3C7" w14:textId="517DC5F1" w:rsidR="00B04ACD" w:rsidRDefault="00B04ACD" w:rsidP="00C35D40">
      <w:pPr>
        <w:numPr>
          <w:ilvl w:val="1"/>
          <w:numId w:val="8"/>
        </w:numPr>
        <w:spacing w:after="240"/>
        <w:rPr>
          <w:rFonts w:cs="Arial"/>
        </w:rPr>
      </w:pPr>
      <w:r>
        <w:rPr>
          <w:rFonts w:cs="Arial"/>
        </w:rPr>
        <w:t xml:space="preserve">The </w:t>
      </w:r>
      <w:r w:rsidRPr="00EE1EC5">
        <w:rPr>
          <w:rFonts w:cs="Arial"/>
          <w:b/>
          <w:bCs/>
        </w:rPr>
        <w:t>Chief Medical Officer</w:t>
      </w:r>
      <w:r>
        <w:rPr>
          <w:rFonts w:cs="Arial"/>
        </w:rPr>
        <w:t xml:space="preserve"> </w:t>
      </w:r>
      <w:r w:rsidR="00EE1EC5">
        <w:rPr>
          <w:rFonts w:cs="Arial"/>
        </w:rPr>
        <w:t xml:space="preserve">has responsibility for implementation of the clinical models of </w:t>
      </w:r>
      <w:proofErr w:type="gramStart"/>
      <w:r w:rsidR="00EE1EC5">
        <w:rPr>
          <w:rFonts w:cs="Arial"/>
        </w:rPr>
        <w:t>care, and</w:t>
      </w:r>
      <w:proofErr w:type="gramEnd"/>
      <w:r w:rsidR="00EE1EC5">
        <w:rPr>
          <w:rFonts w:cs="Arial"/>
        </w:rPr>
        <w:t xml:space="preserve"> is responsible for clinical practice and patient safety in the Trust.</w:t>
      </w:r>
    </w:p>
    <w:p w14:paraId="120AF2A4" w14:textId="4E884C74" w:rsidR="00EE1EC5" w:rsidRDefault="00814A7D" w:rsidP="00C35D40">
      <w:pPr>
        <w:numPr>
          <w:ilvl w:val="1"/>
          <w:numId w:val="8"/>
        </w:numPr>
        <w:spacing w:after="240"/>
        <w:rPr>
          <w:rFonts w:cs="Arial"/>
        </w:rPr>
      </w:pPr>
      <w:r>
        <w:rPr>
          <w:rFonts w:cs="Arial"/>
        </w:rPr>
        <w:t xml:space="preserve">The </w:t>
      </w:r>
      <w:r w:rsidRPr="00A02E7F">
        <w:rPr>
          <w:rFonts w:cs="Arial"/>
          <w:b/>
          <w:bCs/>
        </w:rPr>
        <w:t>Con</w:t>
      </w:r>
      <w:r w:rsidR="00AA6EC1" w:rsidRPr="00A02E7F">
        <w:rPr>
          <w:rFonts w:cs="Arial"/>
          <w:b/>
          <w:bCs/>
        </w:rPr>
        <w:t>s</w:t>
      </w:r>
      <w:r w:rsidRPr="00A02E7F">
        <w:rPr>
          <w:rFonts w:cs="Arial"/>
          <w:b/>
          <w:bCs/>
        </w:rPr>
        <w:t>ultant Paramedics</w:t>
      </w:r>
      <w:r>
        <w:rPr>
          <w:rFonts w:cs="Arial"/>
        </w:rPr>
        <w:t xml:space="preserve"> </w:t>
      </w:r>
      <w:r w:rsidR="00AA6EC1">
        <w:rPr>
          <w:rFonts w:cs="Arial"/>
        </w:rPr>
        <w:t>are responsible for the ongoing delivery of models of care</w:t>
      </w:r>
      <w:r w:rsidR="00A02E7F">
        <w:rPr>
          <w:rFonts w:cs="Arial"/>
        </w:rPr>
        <w:t>.</w:t>
      </w:r>
    </w:p>
    <w:p w14:paraId="3644762B" w14:textId="22167849" w:rsidR="00A93FF7" w:rsidRDefault="00932E2F" w:rsidP="00C35D40">
      <w:pPr>
        <w:numPr>
          <w:ilvl w:val="1"/>
          <w:numId w:val="8"/>
        </w:numPr>
        <w:spacing w:after="240"/>
        <w:rPr>
          <w:rFonts w:cs="Arial"/>
        </w:rPr>
      </w:pPr>
      <w:r>
        <w:rPr>
          <w:rFonts w:cs="Arial"/>
        </w:rPr>
        <w:t xml:space="preserve">The </w:t>
      </w:r>
      <w:r w:rsidRPr="006522A1">
        <w:rPr>
          <w:rFonts w:cs="Arial"/>
          <w:b/>
          <w:bCs/>
        </w:rPr>
        <w:t>Divisional Director (Integrated care, EOC and 111)</w:t>
      </w:r>
      <w:r>
        <w:rPr>
          <w:rFonts w:cs="Arial"/>
        </w:rPr>
        <w:t xml:space="preserve"> is accountable for the delivery of dispatch </w:t>
      </w:r>
      <w:r w:rsidR="006522A1">
        <w:rPr>
          <w:rFonts w:cs="Arial"/>
        </w:rPr>
        <w:t>processes and virtual care models to support delivery of this policy and procedure.</w:t>
      </w:r>
    </w:p>
    <w:p w14:paraId="58B0065E" w14:textId="3B4C09DD" w:rsidR="006522A1" w:rsidRDefault="006522A1" w:rsidP="00C35D40">
      <w:pPr>
        <w:numPr>
          <w:ilvl w:val="1"/>
          <w:numId w:val="8"/>
        </w:numPr>
        <w:spacing w:after="240"/>
        <w:rPr>
          <w:rFonts w:cs="Arial"/>
        </w:rPr>
      </w:pPr>
      <w:r>
        <w:rPr>
          <w:rFonts w:cs="Arial"/>
        </w:rPr>
        <w:t xml:space="preserve">The </w:t>
      </w:r>
      <w:r w:rsidRPr="006522A1">
        <w:rPr>
          <w:rFonts w:cs="Arial"/>
          <w:b/>
          <w:bCs/>
        </w:rPr>
        <w:t>Divisional Director (EPRR)</w:t>
      </w:r>
      <w:r>
        <w:rPr>
          <w:rFonts w:cs="Arial"/>
        </w:rPr>
        <w:t xml:space="preserve"> is accountable for </w:t>
      </w:r>
      <w:r w:rsidR="008A0277">
        <w:rPr>
          <w:rFonts w:cs="Arial"/>
        </w:rPr>
        <w:t>maintaining relationships with partner agencies such as Fire and Rescue Services and other blue-light partners, including any required agreements and governance.</w:t>
      </w:r>
    </w:p>
    <w:p w14:paraId="6DB3B980" w14:textId="415FE976" w:rsidR="00A02E7F" w:rsidRDefault="00A02E7F" w:rsidP="00C35D40">
      <w:pPr>
        <w:numPr>
          <w:ilvl w:val="1"/>
          <w:numId w:val="8"/>
        </w:numPr>
        <w:spacing w:after="240"/>
        <w:rPr>
          <w:rFonts w:cs="Arial"/>
        </w:rPr>
      </w:pPr>
      <w:r>
        <w:rPr>
          <w:rFonts w:cs="Arial"/>
        </w:rPr>
        <w:t xml:space="preserve">The </w:t>
      </w:r>
      <w:r w:rsidRPr="00A41D2D">
        <w:rPr>
          <w:rFonts w:cs="Arial"/>
          <w:b/>
          <w:bCs/>
        </w:rPr>
        <w:t>Head of Community Resilience</w:t>
      </w:r>
      <w:r>
        <w:rPr>
          <w:rFonts w:cs="Arial"/>
        </w:rPr>
        <w:t xml:space="preserve"> is responsible for </w:t>
      </w:r>
      <w:r w:rsidR="00A41D2D">
        <w:rPr>
          <w:rFonts w:cs="Arial"/>
        </w:rPr>
        <w:t>the governance of all volunteers to whom this policy and procedure applies.</w:t>
      </w:r>
    </w:p>
    <w:p w14:paraId="75BA01D5" w14:textId="5921D0FF" w:rsidR="00A41D2D" w:rsidRDefault="001D18A3" w:rsidP="00C35D40">
      <w:pPr>
        <w:numPr>
          <w:ilvl w:val="1"/>
          <w:numId w:val="8"/>
        </w:numPr>
        <w:spacing w:after="240"/>
        <w:rPr>
          <w:rFonts w:cs="Arial"/>
        </w:rPr>
      </w:pPr>
      <w:r w:rsidRPr="00A93FF7">
        <w:rPr>
          <w:rFonts w:cs="Arial"/>
          <w:b/>
          <w:bCs/>
        </w:rPr>
        <w:t>Operational Leadership</w:t>
      </w:r>
      <w:r>
        <w:rPr>
          <w:rFonts w:cs="Arial"/>
        </w:rPr>
        <w:t xml:space="preserve"> teams are responsible for supporting and promoting the effective use of this policy and procedure at an Operating Unit Level, </w:t>
      </w:r>
      <w:r w:rsidR="00A93FF7">
        <w:rPr>
          <w:rFonts w:cs="Arial"/>
        </w:rPr>
        <w:t>including liaising with subject matter experts and other stakeholders as required.</w:t>
      </w:r>
    </w:p>
    <w:p w14:paraId="5B01B428" w14:textId="64650E57" w:rsidR="0014294E" w:rsidRDefault="0014294E" w:rsidP="00C35D40">
      <w:pPr>
        <w:numPr>
          <w:ilvl w:val="1"/>
          <w:numId w:val="8"/>
        </w:numPr>
        <w:spacing w:after="240"/>
        <w:rPr>
          <w:rFonts w:cs="Arial"/>
        </w:rPr>
      </w:pPr>
      <w:r>
        <w:rPr>
          <w:rFonts w:cs="Arial"/>
          <w:b/>
          <w:bCs/>
        </w:rPr>
        <w:t>Advanced Paramedic Practitioners (APP)</w:t>
      </w:r>
      <w:r>
        <w:rPr>
          <w:rFonts w:cs="Arial"/>
        </w:rPr>
        <w:t xml:space="preserve"> working with the Urgent Care Hubs are responsible for providing clinical oversight and support for </w:t>
      </w:r>
      <w:r w:rsidR="00B76BF0">
        <w:rPr>
          <w:rFonts w:cs="Arial"/>
        </w:rPr>
        <w:t xml:space="preserve">Volunteer Responders attending </w:t>
      </w:r>
      <w:proofErr w:type="gramStart"/>
      <w:r w:rsidR="00B76BF0">
        <w:rPr>
          <w:rFonts w:cs="Arial"/>
        </w:rPr>
        <w:t>falls, and</w:t>
      </w:r>
      <w:proofErr w:type="gramEnd"/>
      <w:r w:rsidR="00B76BF0">
        <w:rPr>
          <w:rFonts w:cs="Arial"/>
        </w:rPr>
        <w:t xml:space="preserve"> should seek to optimise patient care and flow. They can assist with supporting risk management decisions and signposting to community based responsive services </w:t>
      </w:r>
      <w:r w:rsidR="00A448DD">
        <w:rPr>
          <w:rFonts w:cs="Arial"/>
        </w:rPr>
        <w:t>to</w:t>
      </w:r>
      <w:r w:rsidR="00B76BF0">
        <w:rPr>
          <w:rFonts w:cs="Arial"/>
        </w:rPr>
        <w:t xml:space="preserve"> support </w:t>
      </w:r>
      <w:r w:rsidR="00A448DD">
        <w:rPr>
          <w:rFonts w:cs="Arial"/>
        </w:rPr>
        <w:t>community-based care</w:t>
      </w:r>
      <w:r w:rsidR="00B76BF0">
        <w:rPr>
          <w:rFonts w:cs="Arial"/>
        </w:rPr>
        <w:t>.</w:t>
      </w:r>
    </w:p>
    <w:p w14:paraId="58F63C6C" w14:textId="17A77C83" w:rsidR="0090214D" w:rsidRDefault="0090214D" w:rsidP="00C35D40">
      <w:pPr>
        <w:numPr>
          <w:ilvl w:val="1"/>
          <w:numId w:val="8"/>
        </w:numPr>
        <w:spacing w:after="240"/>
        <w:rPr>
          <w:rFonts w:cs="Arial"/>
        </w:rPr>
      </w:pPr>
      <w:r w:rsidRPr="0012447F">
        <w:rPr>
          <w:rFonts w:cs="Arial"/>
        </w:rPr>
        <w:t>All</w:t>
      </w:r>
      <w:r>
        <w:rPr>
          <w:rFonts w:cs="Arial"/>
          <w:b/>
          <w:bCs/>
        </w:rPr>
        <w:t xml:space="preserve"> Trust employees and volunteers</w:t>
      </w:r>
      <w:r>
        <w:rPr>
          <w:rFonts w:cs="Arial"/>
        </w:rPr>
        <w:t xml:space="preserve"> (including those from partner agencies</w:t>
      </w:r>
      <w:r w:rsidR="0012447F">
        <w:rPr>
          <w:rFonts w:cs="Arial"/>
        </w:rPr>
        <w:t xml:space="preserve"> who support the Trust with </w:t>
      </w:r>
      <w:r w:rsidR="00A519FD">
        <w:rPr>
          <w:rFonts w:cs="Arial"/>
        </w:rPr>
        <w:t>delivering patient care</w:t>
      </w:r>
      <w:r>
        <w:rPr>
          <w:rFonts w:cs="Arial"/>
        </w:rPr>
        <w:t>)</w:t>
      </w:r>
      <w:r w:rsidR="0012447F">
        <w:rPr>
          <w:rFonts w:cs="Arial"/>
        </w:rPr>
        <w:t xml:space="preserve"> are responsible for following this </w:t>
      </w:r>
      <w:r w:rsidR="00A519FD">
        <w:rPr>
          <w:rFonts w:cs="Arial"/>
        </w:rPr>
        <w:t xml:space="preserve">policy and </w:t>
      </w:r>
      <w:r w:rsidR="0012447F">
        <w:rPr>
          <w:rFonts w:cs="Arial"/>
        </w:rPr>
        <w:t>procedure.</w:t>
      </w:r>
      <w:r>
        <w:rPr>
          <w:rFonts w:cs="Arial"/>
        </w:rPr>
        <w:t xml:space="preserve"> </w:t>
      </w:r>
    </w:p>
    <w:p w14:paraId="1B21E2F6" w14:textId="7F27BF6A" w:rsidR="007C58E9" w:rsidRDefault="007C58E9" w:rsidP="00C35D40">
      <w:pPr>
        <w:numPr>
          <w:ilvl w:val="1"/>
          <w:numId w:val="8"/>
        </w:numPr>
        <w:spacing w:after="240"/>
        <w:rPr>
          <w:rFonts w:cs="Arial"/>
        </w:rPr>
      </w:pPr>
      <w:r>
        <w:rPr>
          <w:rFonts w:cs="Arial"/>
        </w:rPr>
        <w:lastRenderedPageBreak/>
        <w:t xml:space="preserve">All </w:t>
      </w:r>
      <w:r w:rsidRPr="008841D7">
        <w:rPr>
          <w:rFonts w:cs="Arial"/>
          <w:b/>
          <w:bCs/>
        </w:rPr>
        <w:t>external and partner agency staff</w:t>
      </w:r>
      <w:r>
        <w:rPr>
          <w:rFonts w:cs="Arial"/>
        </w:rPr>
        <w:t xml:space="preserve"> are responsible f</w:t>
      </w:r>
      <w:r w:rsidR="00774C64">
        <w:rPr>
          <w:rFonts w:cs="Arial"/>
        </w:rPr>
        <w:t xml:space="preserve">or delivering services in-line with their own organisational policies and </w:t>
      </w:r>
      <w:proofErr w:type="gramStart"/>
      <w:r w:rsidR="00774C64">
        <w:rPr>
          <w:rFonts w:cs="Arial"/>
        </w:rPr>
        <w:t>procedures, and</w:t>
      </w:r>
      <w:proofErr w:type="gramEnd"/>
      <w:r w:rsidR="00774C64">
        <w:rPr>
          <w:rFonts w:cs="Arial"/>
        </w:rPr>
        <w:t xml:space="preserve"> adhering to any formal memorandum of understanding (MOU), contract, or </w:t>
      </w:r>
      <w:r w:rsidR="008841D7">
        <w:rPr>
          <w:rFonts w:cs="Arial"/>
        </w:rPr>
        <w:t>partnership agreement with the Trust.</w:t>
      </w:r>
    </w:p>
    <w:p w14:paraId="2A7BE0DD" w14:textId="7B7D17CC" w:rsidR="006676DC" w:rsidRPr="00521E6C" w:rsidRDefault="006676DC" w:rsidP="008A0277">
      <w:pPr>
        <w:spacing w:after="240"/>
        <w:rPr>
          <w:rFonts w:cs="Arial"/>
        </w:rPr>
      </w:pPr>
    </w:p>
    <w:p w14:paraId="6D6E3C40" w14:textId="77777777" w:rsidR="003A7D19" w:rsidRPr="00640176" w:rsidRDefault="003A7D19" w:rsidP="003A7D19">
      <w:pPr>
        <w:numPr>
          <w:ilvl w:val="0"/>
          <w:numId w:val="2"/>
        </w:numPr>
        <w:tabs>
          <w:tab w:val="left" w:pos="1162"/>
        </w:tabs>
        <w:spacing w:before="360" w:after="240"/>
        <w:outlineLvl w:val="0"/>
        <w:rPr>
          <w:rFonts w:cs="Arial"/>
          <w:b/>
          <w:bCs/>
          <w:sz w:val="28"/>
          <w:szCs w:val="28"/>
        </w:rPr>
      </w:pPr>
      <w:bookmarkStart w:id="12" w:name="_Toc521314440"/>
      <w:bookmarkStart w:id="13" w:name="_Toc45620362"/>
      <w:r>
        <w:rPr>
          <w:rFonts w:cs="Arial"/>
          <w:b/>
          <w:bCs/>
          <w:sz w:val="28"/>
          <w:szCs w:val="28"/>
        </w:rPr>
        <w:t>Procedure</w:t>
      </w:r>
      <w:bookmarkEnd w:id="12"/>
      <w:bookmarkEnd w:id="13"/>
    </w:p>
    <w:p w14:paraId="24C88A19" w14:textId="445A835B" w:rsidR="000873B4" w:rsidRDefault="00C54647" w:rsidP="003A7D19">
      <w:pPr>
        <w:numPr>
          <w:ilvl w:val="1"/>
          <w:numId w:val="8"/>
        </w:numPr>
        <w:spacing w:after="240"/>
        <w:rPr>
          <w:rFonts w:cs="Arial"/>
        </w:rPr>
      </w:pPr>
      <w:r>
        <w:rPr>
          <w:rFonts w:cs="Arial"/>
        </w:rPr>
        <w:t xml:space="preserve">This procedure identifies the key phases of the response to a patient who has </w:t>
      </w:r>
      <w:proofErr w:type="gramStart"/>
      <w:r>
        <w:rPr>
          <w:rFonts w:cs="Arial"/>
        </w:rPr>
        <w:t>fallen, and</w:t>
      </w:r>
      <w:proofErr w:type="gramEnd"/>
      <w:r>
        <w:rPr>
          <w:rFonts w:cs="Arial"/>
        </w:rPr>
        <w:t xml:space="preserve"> presents the minimum expectations for service delivery within each of these phases. It is recognised that the specific management of each patient may vary depending on their individual needs and circumstances, however application of this procedure ensures a safe </w:t>
      </w:r>
      <w:r w:rsidR="003D628D">
        <w:rPr>
          <w:rFonts w:cs="Arial"/>
        </w:rPr>
        <w:t>minimum standard of service delivery.</w:t>
      </w:r>
    </w:p>
    <w:p w14:paraId="2B7C74B1" w14:textId="1753A594" w:rsidR="00C130E9" w:rsidRDefault="000D3E28" w:rsidP="003A7D19">
      <w:pPr>
        <w:numPr>
          <w:ilvl w:val="1"/>
          <w:numId w:val="8"/>
        </w:numPr>
        <w:spacing w:after="240"/>
        <w:rPr>
          <w:rFonts w:cs="Arial"/>
        </w:rPr>
      </w:pPr>
      <w:r>
        <w:rPr>
          <w:rFonts w:cs="Arial"/>
        </w:rPr>
        <w:t xml:space="preserve">Each phase has an identified </w:t>
      </w:r>
      <w:r w:rsidRPr="00651FED">
        <w:rPr>
          <w:rFonts w:cs="Arial"/>
          <w:b/>
          <w:bCs/>
        </w:rPr>
        <w:t>purpose</w:t>
      </w:r>
      <w:r>
        <w:rPr>
          <w:rFonts w:cs="Arial"/>
        </w:rPr>
        <w:t xml:space="preserve"> (</w:t>
      </w:r>
      <w:r w:rsidR="00D77F22">
        <w:rPr>
          <w:rFonts w:cs="Arial"/>
        </w:rPr>
        <w:t xml:space="preserve">the aim to be achieved by delivering this phase effectively); </w:t>
      </w:r>
      <w:r w:rsidR="00D77F22" w:rsidRPr="00651FED">
        <w:rPr>
          <w:rFonts w:cs="Arial"/>
          <w:b/>
          <w:bCs/>
        </w:rPr>
        <w:t>priorities</w:t>
      </w:r>
      <w:r w:rsidR="00D77F22">
        <w:rPr>
          <w:rFonts w:cs="Arial"/>
        </w:rPr>
        <w:t xml:space="preserve"> (</w:t>
      </w:r>
      <w:r w:rsidR="00651FED">
        <w:rPr>
          <w:rFonts w:cs="Arial"/>
        </w:rPr>
        <w:t xml:space="preserve">adherence with which can be used to measure the effectiveness of this policy and procedure); and </w:t>
      </w:r>
      <w:r w:rsidR="00651FED" w:rsidRPr="00651FED">
        <w:rPr>
          <w:rFonts w:cs="Arial"/>
          <w:b/>
          <w:bCs/>
        </w:rPr>
        <w:t>process</w:t>
      </w:r>
      <w:r w:rsidR="00651FED">
        <w:rPr>
          <w:rFonts w:cs="Arial"/>
        </w:rPr>
        <w:t xml:space="preserve"> (the steps taken to deliver the purposes). </w:t>
      </w:r>
    </w:p>
    <w:p w14:paraId="1A496F66" w14:textId="478685EC" w:rsidR="003D628D" w:rsidRPr="00AC4211" w:rsidRDefault="003D628D" w:rsidP="003A7D19">
      <w:pPr>
        <w:numPr>
          <w:ilvl w:val="1"/>
          <w:numId w:val="8"/>
        </w:numPr>
        <w:spacing w:after="240"/>
        <w:rPr>
          <w:rFonts w:cs="Arial"/>
          <w:b/>
          <w:bCs/>
          <w:sz w:val="28"/>
          <w:szCs w:val="21"/>
        </w:rPr>
      </w:pPr>
      <w:r w:rsidRPr="00AC4211">
        <w:rPr>
          <w:rFonts w:cs="Arial"/>
          <w:b/>
          <w:bCs/>
          <w:sz w:val="28"/>
          <w:szCs w:val="21"/>
        </w:rPr>
        <w:t>Phase one – detection</w:t>
      </w:r>
      <w:r w:rsidR="00777B57" w:rsidRPr="00AC4211">
        <w:rPr>
          <w:rFonts w:cs="Arial"/>
          <w:b/>
          <w:bCs/>
          <w:sz w:val="28"/>
          <w:szCs w:val="21"/>
        </w:rPr>
        <w:t>,</w:t>
      </w:r>
      <w:r w:rsidRPr="00AC4211">
        <w:rPr>
          <w:rFonts w:cs="Arial"/>
          <w:b/>
          <w:bCs/>
          <w:sz w:val="28"/>
          <w:szCs w:val="21"/>
        </w:rPr>
        <w:t xml:space="preserve"> </w:t>
      </w:r>
      <w:r w:rsidR="0033222E" w:rsidRPr="00AC4211">
        <w:rPr>
          <w:rFonts w:cs="Arial"/>
          <w:b/>
          <w:bCs/>
          <w:sz w:val="28"/>
          <w:szCs w:val="21"/>
        </w:rPr>
        <w:t>triage</w:t>
      </w:r>
      <w:r w:rsidR="00777B57" w:rsidRPr="00AC4211">
        <w:rPr>
          <w:rFonts w:cs="Arial"/>
          <w:b/>
          <w:bCs/>
          <w:sz w:val="28"/>
          <w:szCs w:val="21"/>
        </w:rPr>
        <w:t>, dispat</w:t>
      </w:r>
      <w:r w:rsidR="00A1704E" w:rsidRPr="00AC4211">
        <w:rPr>
          <w:rFonts w:cs="Arial"/>
          <w:b/>
          <w:bCs/>
          <w:sz w:val="28"/>
          <w:szCs w:val="21"/>
        </w:rPr>
        <w:t>ch and mobilisation</w:t>
      </w:r>
      <w:r w:rsidRPr="00AC4211">
        <w:rPr>
          <w:rFonts w:cs="Arial"/>
          <w:b/>
          <w:bCs/>
          <w:sz w:val="28"/>
          <w:szCs w:val="21"/>
        </w:rPr>
        <w:t xml:space="preserve"> </w:t>
      </w:r>
    </w:p>
    <w:p w14:paraId="111A254C" w14:textId="44929F40" w:rsidR="00297E81" w:rsidRDefault="00297E81" w:rsidP="00297E81">
      <w:pPr>
        <w:numPr>
          <w:ilvl w:val="2"/>
          <w:numId w:val="8"/>
        </w:numPr>
        <w:spacing w:after="240"/>
        <w:rPr>
          <w:rFonts w:cs="Arial"/>
        </w:rPr>
      </w:pPr>
      <w:r w:rsidRPr="00AC4211">
        <w:rPr>
          <w:rFonts w:cs="Arial"/>
          <w:b/>
          <w:bCs/>
        </w:rPr>
        <w:t>Purpose:</w:t>
      </w:r>
      <w:r>
        <w:rPr>
          <w:rFonts w:cs="Arial"/>
        </w:rPr>
        <w:t xml:space="preserve"> to </w:t>
      </w:r>
      <w:r w:rsidR="00EF53AB">
        <w:rPr>
          <w:rFonts w:cs="Arial"/>
        </w:rPr>
        <w:t>ensure that</w:t>
      </w:r>
      <w:r w:rsidR="0033222E">
        <w:rPr>
          <w:rFonts w:cs="Arial"/>
        </w:rPr>
        <w:t xml:space="preserve"> </w:t>
      </w:r>
      <w:r w:rsidR="00EF53AB">
        <w:rPr>
          <w:rFonts w:cs="Arial"/>
        </w:rPr>
        <w:t xml:space="preserve">incidents which </w:t>
      </w:r>
      <w:r w:rsidR="000C03E9">
        <w:rPr>
          <w:rFonts w:cs="Arial"/>
        </w:rPr>
        <w:t xml:space="preserve">require a physical response and </w:t>
      </w:r>
      <w:r w:rsidR="00EF53AB">
        <w:rPr>
          <w:rFonts w:cs="Arial"/>
        </w:rPr>
        <w:t xml:space="preserve">are suitable for a community falls response </w:t>
      </w:r>
      <w:r w:rsidR="00EE6BEB">
        <w:rPr>
          <w:rFonts w:cs="Arial"/>
        </w:rPr>
        <w:t>(either via</w:t>
      </w:r>
      <w:r w:rsidR="008E0A3B">
        <w:rPr>
          <w:rFonts w:cs="Arial"/>
        </w:rPr>
        <w:t xml:space="preserve"> commissioned </w:t>
      </w:r>
      <w:r w:rsidR="00EE6BEB">
        <w:rPr>
          <w:rFonts w:cs="Arial"/>
        </w:rPr>
        <w:t>services</w:t>
      </w:r>
      <w:r w:rsidR="008E0A3B">
        <w:rPr>
          <w:rFonts w:cs="Arial"/>
        </w:rPr>
        <w:t xml:space="preserve"> or </w:t>
      </w:r>
      <w:r w:rsidR="0049008A">
        <w:rPr>
          <w:rFonts w:cs="Arial"/>
        </w:rPr>
        <w:t>volunt</w:t>
      </w:r>
      <w:r w:rsidR="0063161C">
        <w:rPr>
          <w:rFonts w:cs="Arial"/>
        </w:rPr>
        <w:t>eer</w:t>
      </w:r>
      <w:r w:rsidR="0049008A">
        <w:rPr>
          <w:rFonts w:cs="Arial"/>
        </w:rPr>
        <w:t xml:space="preserve"> </w:t>
      </w:r>
      <w:r w:rsidR="006C1873">
        <w:rPr>
          <w:rFonts w:cs="Arial"/>
        </w:rPr>
        <w:t>responders</w:t>
      </w:r>
      <w:r w:rsidR="00EE6BEB">
        <w:rPr>
          <w:rFonts w:cs="Arial"/>
        </w:rPr>
        <w:t>)</w:t>
      </w:r>
      <w:r w:rsidR="006C1873">
        <w:rPr>
          <w:rFonts w:cs="Arial"/>
        </w:rPr>
        <w:t xml:space="preserve">, </w:t>
      </w:r>
      <w:r w:rsidR="00EF53AB">
        <w:rPr>
          <w:rFonts w:cs="Arial"/>
        </w:rPr>
        <w:t>are identified</w:t>
      </w:r>
      <w:r w:rsidR="007336FC">
        <w:rPr>
          <w:rFonts w:cs="Arial"/>
        </w:rPr>
        <w:t xml:space="preserve"> correctly</w:t>
      </w:r>
      <w:r w:rsidR="00EF53AB">
        <w:rPr>
          <w:rFonts w:cs="Arial"/>
        </w:rPr>
        <w:t xml:space="preserve">, </w:t>
      </w:r>
      <w:r w:rsidR="007336FC">
        <w:rPr>
          <w:rFonts w:cs="Arial"/>
        </w:rPr>
        <w:t>and that</w:t>
      </w:r>
      <w:r w:rsidR="008710A7">
        <w:rPr>
          <w:rFonts w:cs="Arial"/>
        </w:rPr>
        <w:t xml:space="preserve"> where appropriate and available a community falls response is utilised</w:t>
      </w:r>
      <w:r w:rsidR="0013777B">
        <w:rPr>
          <w:rFonts w:cs="Arial"/>
        </w:rPr>
        <w:t>.</w:t>
      </w:r>
      <w:r w:rsidR="008710A7">
        <w:rPr>
          <w:rFonts w:cs="Arial"/>
        </w:rPr>
        <w:t xml:space="preserve"> </w:t>
      </w:r>
    </w:p>
    <w:p w14:paraId="114F39F9" w14:textId="77777777" w:rsidR="00392E8B" w:rsidRPr="00AC4211" w:rsidRDefault="0080766F" w:rsidP="00297E81">
      <w:pPr>
        <w:numPr>
          <w:ilvl w:val="2"/>
          <w:numId w:val="8"/>
        </w:numPr>
        <w:spacing w:after="240"/>
        <w:rPr>
          <w:rFonts w:cs="Arial"/>
          <w:b/>
          <w:bCs/>
        </w:rPr>
      </w:pPr>
      <w:r w:rsidRPr="00AC4211">
        <w:rPr>
          <w:rFonts w:cs="Arial"/>
          <w:b/>
          <w:bCs/>
        </w:rPr>
        <w:t xml:space="preserve">Priorities: </w:t>
      </w:r>
    </w:p>
    <w:p w14:paraId="088469D3" w14:textId="1AC03A1F" w:rsidR="0080766F" w:rsidRDefault="00E40459" w:rsidP="00392E8B">
      <w:pPr>
        <w:numPr>
          <w:ilvl w:val="3"/>
          <w:numId w:val="8"/>
        </w:numPr>
        <w:spacing w:after="240"/>
        <w:rPr>
          <w:rFonts w:cs="Arial"/>
        </w:rPr>
      </w:pPr>
      <w:r>
        <w:rPr>
          <w:rFonts w:cs="Arial"/>
        </w:rPr>
        <w:t>U</w:t>
      </w:r>
      <w:r w:rsidR="000B27A2">
        <w:rPr>
          <w:rFonts w:cs="Arial"/>
        </w:rPr>
        <w:t xml:space="preserve">tilisation of </w:t>
      </w:r>
      <w:r>
        <w:rPr>
          <w:rFonts w:cs="Arial"/>
        </w:rPr>
        <w:t>the most appropriate</w:t>
      </w:r>
      <w:r w:rsidR="0013777B">
        <w:rPr>
          <w:rFonts w:cs="Arial"/>
        </w:rPr>
        <w:t xml:space="preserve"> community falls response available</w:t>
      </w:r>
      <w:r w:rsidR="00392E8B">
        <w:rPr>
          <w:rFonts w:cs="Arial"/>
        </w:rPr>
        <w:t>.</w:t>
      </w:r>
    </w:p>
    <w:p w14:paraId="37B013AC" w14:textId="7C204568" w:rsidR="00392E8B" w:rsidRDefault="0074741B" w:rsidP="00392E8B">
      <w:pPr>
        <w:numPr>
          <w:ilvl w:val="3"/>
          <w:numId w:val="8"/>
        </w:numPr>
        <w:spacing w:after="240"/>
        <w:rPr>
          <w:rFonts w:cs="Arial"/>
        </w:rPr>
      </w:pPr>
      <w:r>
        <w:rPr>
          <w:rFonts w:cs="Arial"/>
        </w:rPr>
        <w:t>Avoid unnecessary duplication of resources</w:t>
      </w:r>
      <w:r w:rsidR="00AE049A">
        <w:rPr>
          <w:rFonts w:cs="Arial"/>
        </w:rPr>
        <w:t xml:space="preserve"> </w:t>
      </w:r>
      <w:r w:rsidR="00951E6D">
        <w:rPr>
          <w:rFonts w:cs="Arial"/>
        </w:rPr>
        <w:t>dispatched to incidents (reducing resources per incident, RPI).</w:t>
      </w:r>
    </w:p>
    <w:p w14:paraId="72C99EF3" w14:textId="3A0D089C" w:rsidR="00951E6D" w:rsidRDefault="00951E6D" w:rsidP="00392E8B">
      <w:pPr>
        <w:numPr>
          <w:ilvl w:val="3"/>
          <w:numId w:val="8"/>
        </w:numPr>
        <w:spacing w:after="240"/>
        <w:rPr>
          <w:rFonts w:cs="Arial"/>
        </w:rPr>
      </w:pPr>
      <w:r>
        <w:rPr>
          <w:rFonts w:cs="Arial"/>
        </w:rPr>
        <w:t xml:space="preserve">Maintain patient safety </w:t>
      </w:r>
      <w:r w:rsidR="00C130E9">
        <w:rPr>
          <w:rFonts w:cs="Arial"/>
        </w:rPr>
        <w:t xml:space="preserve">by </w:t>
      </w:r>
      <w:r w:rsidR="00707538">
        <w:rPr>
          <w:rFonts w:cs="Arial"/>
        </w:rPr>
        <w:t>ensuring</w:t>
      </w:r>
      <w:r w:rsidR="00C130E9">
        <w:rPr>
          <w:rFonts w:cs="Arial"/>
        </w:rPr>
        <w:t xml:space="preserve"> a timely response to incidents.</w:t>
      </w:r>
    </w:p>
    <w:p w14:paraId="05737E25" w14:textId="0375D17F" w:rsidR="00C130E9" w:rsidRPr="00AC4211" w:rsidRDefault="00C130E9" w:rsidP="00C130E9">
      <w:pPr>
        <w:numPr>
          <w:ilvl w:val="2"/>
          <w:numId w:val="8"/>
        </w:numPr>
        <w:spacing w:after="240"/>
        <w:rPr>
          <w:rFonts w:cs="Arial"/>
          <w:b/>
          <w:bCs/>
        </w:rPr>
      </w:pPr>
      <w:r w:rsidRPr="00AC4211">
        <w:rPr>
          <w:rFonts w:cs="Arial"/>
          <w:b/>
          <w:bCs/>
        </w:rPr>
        <w:t>Process</w:t>
      </w:r>
      <w:r w:rsidR="00AD61A3" w:rsidRPr="00AC4211">
        <w:rPr>
          <w:rFonts w:cs="Arial"/>
          <w:b/>
          <w:bCs/>
        </w:rPr>
        <w:t>:</w:t>
      </w:r>
    </w:p>
    <w:p w14:paraId="4E4C746C" w14:textId="1D68CBA9" w:rsidR="00AD61A3" w:rsidRDefault="0083455D" w:rsidP="003F505E">
      <w:pPr>
        <w:numPr>
          <w:ilvl w:val="3"/>
          <w:numId w:val="8"/>
        </w:numPr>
        <w:spacing w:after="240"/>
        <w:rPr>
          <w:rFonts w:cs="Arial"/>
        </w:rPr>
      </w:pPr>
      <w:r>
        <w:rPr>
          <w:rFonts w:cs="Arial"/>
        </w:rPr>
        <w:t>Falls incidents will be received via the 999</w:t>
      </w:r>
      <w:r w:rsidR="007A027B">
        <w:rPr>
          <w:rFonts w:cs="Arial"/>
        </w:rPr>
        <w:t xml:space="preserve">, 111 or Interoperability Toolkit (ITK) link systems </w:t>
      </w:r>
      <w:r w:rsidR="00937BA9">
        <w:rPr>
          <w:rFonts w:cs="Arial"/>
        </w:rPr>
        <w:t>and be triaged and prioritised following the usual way.</w:t>
      </w:r>
    </w:p>
    <w:p w14:paraId="7E42E1C6" w14:textId="54B2064C" w:rsidR="00515D36" w:rsidRDefault="009C7AFE" w:rsidP="003F505E">
      <w:pPr>
        <w:numPr>
          <w:ilvl w:val="3"/>
          <w:numId w:val="8"/>
        </w:numPr>
        <w:spacing w:after="240"/>
        <w:rPr>
          <w:rFonts w:cs="Arial"/>
        </w:rPr>
      </w:pPr>
      <w:r>
        <w:rPr>
          <w:rFonts w:cs="Arial"/>
        </w:rPr>
        <w:t>C</w:t>
      </w:r>
      <w:r w:rsidR="00762212">
        <w:rPr>
          <w:rFonts w:cs="Arial"/>
        </w:rPr>
        <w:t>alls which are triaged as category 2 (C2)</w:t>
      </w:r>
      <w:r>
        <w:rPr>
          <w:rFonts w:cs="Arial"/>
        </w:rPr>
        <w:t xml:space="preserve"> fall outside the scope of this procedure and should be dispatched following usual Trust processes (recognising that this may include the dispatch of an available </w:t>
      </w:r>
      <w:r w:rsidR="00D203FB">
        <w:rPr>
          <w:rFonts w:cs="Arial"/>
        </w:rPr>
        <w:t>CFR</w:t>
      </w:r>
      <w:r>
        <w:rPr>
          <w:rFonts w:cs="Arial"/>
        </w:rPr>
        <w:t>).</w:t>
      </w:r>
    </w:p>
    <w:p w14:paraId="7896BEEC" w14:textId="1132A27B" w:rsidR="009C7AFE" w:rsidRDefault="00D330F6" w:rsidP="003F505E">
      <w:pPr>
        <w:numPr>
          <w:ilvl w:val="3"/>
          <w:numId w:val="8"/>
        </w:numPr>
        <w:spacing w:after="240"/>
        <w:rPr>
          <w:rFonts w:cs="Arial"/>
        </w:rPr>
      </w:pPr>
      <w:r>
        <w:rPr>
          <w:rFonts w:cs="Arial"/>
        </w:rPr>
        <w:t>For calls which are triaged as category 3</w:t>
      </w:r>
      <w:r w:rsidR="00721178">
        <w:rPr>
          <w:rFonts w:cs="Arial"/>
        </w:rPr>
        <w:t xml:space="preserve"> or 4</w:t>
      </w:r>
      <w:r>
        <w:rPr>
          <w:rFonts w:cs="Arial"/>
        </w:rPr>
        <w:t xml:space="preserve"> (C3</w:t>
      </w:r>
      <w:r w:rsidR="00721178">
        <w:rPr>
          <w:rFonts w:cs="Arial"/>
        </w:rPr>
        <w:t>/C4</w:t>
      </w:r>
      <w:r>
        <w:rPr>
          <w:rFonts w:cs="Arial"/>
        </w:rPr>
        <w:t xml:space="preserve">) and identified as falls with minor injuries or non-injury </w:t>
      </w:r>
      <w:r w:rsidR="00F96E79">
        <w:rPr>
          <w:rFonts w:cs="Arial"/>
        </w:rPr>
        <w:t xml:space="preserve">the preferred approach is to refer to a dedicated </w:t>
      </w:r>
      <w:r w:rsidR="00707538">
        <w:rPr>
          <w:rFonts w:cs="Arial"/>
        </w:rPr>
        <w:t>commissioned</w:t>
      </w:r>
      <w:r w:rsidR="00F96E79">
        <w:rPr>
          <w:rFonts w:cs="Arial"/>
        </w:rPr>
        <w:t xml:space="preserve"> community falls team. Where this is accepted, the call will be closed as </w:t>
      </w:r>
      <w:r w:rsidR="00B74C32">
        <w:rPr>
          <w:rFonts w:cs="Arial"/>
        </w:rPr>
        <w:t>an external referral.</w:t>
      </w:r>
    </w:p>
    <w:p w14:paraId="10D27A66" w14:textId="542AAF5F" w:rsidR="00B74C32" w:rsidRDefault="000E2DF6" w:rsidP="003F505E">
      <w:pPr>
        <w:numPr>
          <w:ilvl w:val="3"/>
          <w:numId w:val="8"/>
        </w:numPr>
        <w:spacing w:after="240"/>
        <w:rPr>
          <w:rFonts w:cs="Arial"/>
        </w:rPr>
      </w:pPr>
      <w:r>
        <w:rPr>
          <w:rFonts w:cs="Arial"/>
        </w:rPr>
        <w:lastRenderedPageBreak/>
        <w:t xml:space="preserve">Where no Community Falls Team is available or the referral is not accepted, </w:t>
      </w:r>
      <w:r w:rsidR="0086672C">
        <w:rPr>
          <w:rFonts w:cs="Arial"/>
        </w:rPr>
        <w:t xml:space="preserve">and a CFR is available </w:t>
      </w:r>
      <w:r w:rsidR="00D203FB">
        <w:rPr>
          <w:rFonts w:cs="Arial"/>
        </w:rPr>
        <w:t xml:space="preserve">within </w:t>
      </w:r>
      <w:r w:rsidR="00971E3E">
        <w:rPr>
          <w:rFonts w:cs="Arial"/>
        </w:rPr>
        <w:t>15</w:t>
      </w:r>
      <w:r w:rsidR="00D203FB">
        <w:rPr>
          <w:rFonts w:cs="Arial"/>
        </w:rPr>
        <w:t xml:space="preserve"> minutes</w:t>
      </w:r>
      <w:r w:rsidR="00971E3E">
        <w:rPr>
          <w:rFonts w:cs="Arial"/>
        </w:rPr>
        <w:t xml:space="preserve"> </w:t>
      </w:r>
      <w:r w:rsidR="00D203FB">
        <w:rPr>
          <w:rFonts w:cs="Arial"/>
        </w:rPr>
        <w:t>of the incident, the CFR should be dispatched</w:t>
      </w:r>
      <w:r w:rsidR="00DD1A3D">
        <w:rPr>
          <w:rFonts w:cs="Arial"/>
        </w:rPr>
        <w:t xml:space="preserve">. Unless specifically requested at this stage by either a CFR or clinician reviewing the call, </w:t>
      </w:r>
      <w:r w:rsidR="00901F30">
        <w:rPr>
          <w:rFonts w:cs="Arial"/>
        </w:rPr>
        <w:t>no further resources should be dispatched.</w:t>
      </w:r>
    </w:p>
    <w:p w14:paraId="7D58583B" w14:textId="4B88C7C0" w:rsidR="00CD38BE" w:rsidRDefault="00CD38BE" w:rsidP="003F505E">
      <w:pPr>
        <w:numPr>
          <w:ilvl w:val="3"/>
          <w:numId w:val="8"/>
        </w:numPr>
        <w:spacing w:after="240"/>
        <w:rPr>
          <w:rFonts w:cs="Arial"/>
        </w:rPr>
      </w:pPr>
      <w:r>
        <w:rPr>
          <w:rFonts w:cs="Arial"/>
        </w:rPr>
        <w:t xml:space="preserve">If a CFR has arrived on scene </w:t>
      </w:r>
      <w:r w:rsidR="00403ED9">
        <w:rPr>
          <w:rFonts w:cs="Arial"/>
        </w:rPr>
        <w:t xml:space="preserve">and has not contacted EOC to update within </w:t>
      </w:r>
      <w:r w:rsidR="00403ED9" w:rsidRPr="001955E2">
        <w:rPr>
          <w:rFonts w:cs="Arial"/>
        </w:rPr>
        <w:t>15</w:t>
      </w:r>
      <w:r w:rsidR="00403ED9">
        <w:rPr>
          <w:rFonts w:cs="Arial"/>
        </w:rPr>
        <w:t xml:space="preserve"> minutes of their on-scene time</w:t>
      </w:r>
      <w:r w:rsidR="00315744">
        <w:rPr>
          <w:rFonts w:cs="Arial"/>
        </w:rPr>
        <w:t>, the CFR should be contacted to ask whether further resources are needed. If contact cannot be made, the call should be returned to the dispatch queue</w:t>
      </w:r>
      <w:r w:rsidR="00D23E64">
        <w:rPr>
          <w:rFonts w:cs="Arial"/>
        </w:rPr>
        <w:t xml:space="preserve"> for ambulance dispatch.</w:t>
      </w:r>
    </w:p>
    <w:p w14:paraId="27FD9D1A" w14:textId="13EC04BE" w:rsidR="00263669" w:rsidRDefault="00263669" w:rsidP="003F505E">
      <w:pPr>
        <w:numPr>
          <w:ilvl w:val="3"/>
          <w:numId w:val="8"/>
        </w:numPr>
        <w:spacing w:after="240"/>
        <w:rPr>
          <w:rFonts w:cs="Arial"/>
        </w:rPr>
      </w:pPr>
      <w:r>
        <w:rPr>
          <w:rFonts w:cs="Arial"/>
        </w:rPr>
        <w:t>Where no CFR is available to attend, the call should be dispatched in the usual way</w:t>
      </w:r>
      <w:r w:rsidR="002A4F3C">
        <w:rPr>
          <w:rFonts w:cs="Arial"/>
        </w:rPr>
        <w:t xml:space="preserve"> using any other available re</w:t>
      </w:r>
      <w:r w:rsidR="00BC5B73">
        <w:rPr>
          <w:rFonts w:cs="Arial"/>
        </w:rPr>
        <w:t>sources which are suitable.</w:t>
      </w:r>
    </w:p>
    <w:p w14:paraId="77194690" w14:textId="45C2084C" w:rsidR="00BC5B73" w:rsidRDefault="00BC5B73" w:rsidP="003F505E">
      <w:pPr>
        <w:numPr>
          <w:ilvl w:val="3"/>
          <w:numId w:val="8"/>
        </w:numPr>
        <w:spacing w:after="240"/>
        <w:rPr>
          <w:rFonts w:cs="Arial"/>
        </w:rPr>
      </w:pPr>
      <w:r>
        <w:rPr>
          <w:rFonts w:cs="Arial"/>
        </w:rPr>
        <w:t xml:space="preserve">In periods of high demand / escalation where the call may be held in a queue, consideration should be given to whether </w:t>
      </w:r>
      <w:r w:rsidR="00417B85">
        <w:rPr>
          <w:rFonts w:cs="Arial"/>
        </w:rPr>
        <w:t>a CFR from outside the usual dispatch area could be mobilised.</w:t>
      </w:r>
    </w:p>
    <w:p w14:paraId="66646BAF" w14:textId="219A30D5" w:rsidR="0059726F" w:rsidRPr="00AC4211" w:rsidRDefault="0059726F" w:rsidP="003A7D19">
      <w:pPr>
        <w:numPr>
          <w:ilvl w:val="1"/>
          <w:numId w:val="8"/>
        </w:numPr>
        <w:spacing w:after="240"/>
        <w:rPr>
          <w:rFonts w:cs="Arial"/>
          <w:b/>
          <w:bCs/>
          <w:sz w:val="28"/>
          <w:szCs w:val="21"/>
        </w:rPr>
      </w:pPr>
      <w:r w:rsidRPr="00AC4211">
        <w:rPr>
          <w:rFonts w:cs="Arial"/>
          <w:b/>
          <w:bCs/>
          <w:sz w:val="28"/>
          <w:szCs w:val="21"/>
        </w:rPr>
        <w:t xml:space="preserve">Phase </w:t>
      </w:r>
      <w:r w:rsidR="00A1704E" w:rsidRPr="00AC4211">
        <w:rPr>
          <w:rFonts w:cs="Arial"/>
          <w:b/>
          <w:bCs/>
          <w:sz w:val="28"/>
          <w:szCs w:val="21"/>
        </w:rPr>
        <w:t>two</w:t>
      </w:r>
      <w:r w:rsidRPr="00AC4211">
        <w:rPr>
          <w:rFonts w:cs="Arial"/>
          <w:b/>
          <w:bCs/>
          <w:sz w:val="28"/>
          <w:szCs w:val="21"/>
        </w:rPr>
        <w:t xml:space="preserve"> – on scene assessment and </w:t>
      </w:r>
      <w:r w:rsidR="001E7441" w:rsidRPr="00AC4211">
        <w:rPr>
          <w:rFonts w:cs="Arial"/>
          <w:b/>
          <w:bCs/>
          <w:sz w:val="28"/>
          <w:szCs w:val="21"/>
        </w:rPr>
        <w:t>interventions</w:t>
      </w:r>
    </w:p>
    <w:p w14:paraId="0B512666" w14:textId="3844C257" w:rsidR="00417B85" w:rsidRDefault="00417B85" w:rsidP="00417B85">
      <w:pPr>
        <w:numPr>
          <w:ilvl w:val="2"/>
          <w:numId w:val="8"/>
        </w:numPr>
        <w:spacing w:after="240"/>
        <w:rPr>
          <w:rFonts w:cs="Arial"/>
        </w:rPr>
      </w:pPr>
      <w:r w:rsidRPr="00AC4211">
        <w:rPr>
          <w:rFonts w:cs="Arial"/>
          <w:b/>
          <w:bCs/>
        </w:rPr>
        <w:t>Purpose:</w:t>
      </w:r>
      <w:r>
        <w:rPr>
          <w:rFonts w:cs="Arial"/>
        </w:rPr>
        <w:t xml:space="preserve"> to ensure that patients who have fallen receive </w:t>
      </w:r>
      <w:r w:rsidR="00E7180B">
        <w:rPr>
          <w:rFonts w:cs="Arial"/>
        </w:rPr>
        <w:t>high-quality patient care from a suitably trained responder, in a timely manner.</w:t>
      </w:r>
    </w:p>
    <w:p w14:paraId="7703D766" w14:textId="04649545" w:rsidR="00E7180B" w:rsidRPr="00AC4211" w:rsidRDefault="00E7180B" w:rsidP="00417B85">
      <w:pPr>
        <w:numPr>
          <w:ilvl w:val="2"/>
          <w:numId w:val="8"/>
        </w:numPr>
        <w:spacing w:after="240"/>
        <w:rPr>
          <w:rFonts w:cs="Arial"/>
          <w:b/>
          <w:bCs/>
        </w:rPr>
      </w:pPr>
      <w:r w:rsidRPr="00AC4211">
        <w:rPr>
          <w:rFonts w:cs="Arial"/>
          <w:b/>
          <w:bCs/>
        </w:rPr>
        <w:t>Priorities:</w:t>
      </w:r>
    </w:p>
    <w:p w14:paraId="3C4158D3" w14:textId="6F15B42A" w:rsidR="00E7180B" w:rsidRDefault="000754AA" w:rsidP="00E7180B">
      <w:pPr>
        <w:numPr>
          <w:ilvl w:val="3"/>
          <w:numId w:val="8"/>
        </w:numPr>
        <w:spacing w:after="240"/>
        <w:rPr>
          <w:rFonts w:cs="Arial"/>
        </w:rPr>
      </w:pPr>
      <w:r>
        <w:rPr>
          <w:rFonts w:cs="Arial"/>
        </w:rPr>
        <w:t>Initial assessment of patient condition and escalation for higher priority physical response w</w:t>
      </w:r>
      <w:r w:rsidR="00DA6416">
        <w:rPr>
          <w:rFonts w:cs="Arial"/>
        </w:rPr>
        <w:t>h</w:t>
      </w:r>
      <w:r>
        <w:rPr>
          <w:rFonts w:cs="Arial"/>
        </w:rPr>
        <w:t>ere required.</w:t>
      </w:r>
    </w:p>
    <w:p w14:paraId="407234C9" w14:textId="255D0EFC" w:rsidR="004B2709" w:rsidRDefault="00DD3AF6" w:rsidP="00E7180B">
      <w:pPr>
        <w:numPr>
          <w:ilvl w:val="3"/>
          <w:numId w:val="8"/>
        </w:numPr>
        <w:spacing w:after="240"/>
        <w:rPr>
          <w:rFonts w:cs="Arial"/>
        </w:rPr>
      </w:pPr>
      <w:r>
        <w:rPr>
          <w:rFonts w:cs="Arial"/>
        </w:rPr>
        <w:t xml:space="preserve">Apply comfort measures to reduce the </w:t>
      </w:r>
      <w:r w:rsidR="00492C15">
        <w:rPr>
          <w:rFonts w:cs="Arial"/>
        </w:rPr>
        <w:t xml:space="preserve">likelihood and impact of </w:t>
      </w:r>
      <w:r w:rsidR="00167C60">
        <w:rPr>
          <w:rFonts w:cs="Arial"/>
        </w:rPr>
        <w:t xml:space="preserve">complications </w:t>
      </w:r>
      <w:r w:rsidR="00A55F5D">
        <w:rPr>
          <w:rFonts w:cs="Arial"/>
        </w:rPr>
        <w:t>relating to falls.</w:t>
      </w:r>
    </w:p>
    <w:p w14:paraId="1798D842" w14:textId="6A01C538" w:rsidR="0089301D" w:rsidRDefault="0089301D" w:rsidP="00E7180B">
      <w:pPr>
        <w:numPr>
          <w:ilvl w:val="3"/>
          <w:numId w:val="8"/>
        </w:numPr>
        <w:spacing w:after="240"/>
        <w:rPr>
          <w:rFonts w:cs="Arial"/>
        </w:rPr>
      </w:pPr>
      <w:r>
        <w:rPr>
          <w:rFonts w:cs="Arial"/>
        </w:rPr>
        <w:t>Facilitate the patient either self-mobilising or being lifted from the floor</w:t>
      </w:r>
      <w:r w:rsidR="00EA37BA">
        <w:rPr>
          <w:rFonts w:cs="Arial"/>
        </w:rPr>
        <w:t xml:space="preserve"> into a safe and comfortable position (e.g. chair or bed).</w:t>
      </w:r>
    </w:p>
    <w:p w14:paraId="29DD14F0" w14:textId="6287B447" w:rsidR="00854F33" w:rsidRPr="00AC4211" w:rsidRDefault="00854F33" w:rsidP="00854F33">
      <w:pPr>
        <w:numPr>
          <w:ilvl w:val="2"/>
          <w:numId w:val="8"/>
        </w:numPr>
        <w:spacing w:after="240"/>
        <w:rPr>
          <w:rFonts w:cs="Arial"/>
          <w:b/>
          <w:bCs/>
        </w:rPr>
      </w:pPr>
      <w:r w:rsidRPr="00AC4211">
        <w:rPr>
          <w:rFonts w:cs="Arial"/>
          <w:b/>
          <w:bCs/>
        </w:rPr>
        <w:t>Process:</w:t>
      </w:r>
    </w:p>
    <w:p w14:paraId="48276FF6" w14:textId="38D68B38" w:rsidR="00854F33" w:rsidRDefault="004E1EE3" w:rsidP="00854F33">
      <w:pPr>
        <w:numPr>
          <w:ilvl w:val="3"/>
          <w:numId w:val="8"/>
        </w:numPr>
        <w:spacing w:after="240"/>
        <w:rPr>
          <w:rFonts w:cs="Arial"/>
        </w:rPr>
      </w:pPr>
      <w:r>
        <w:rPr>
          <w:rFonts w:cs="Arial"/>
        </w:rPr>
        <w:t>A standard patient assessment will be undertaken on arrival at the patient’s side</w:t>
      </w:r>
      <w:r w:rsidR="001F551B">
        <w:rPr>
          <w:rFonts w:cs="Arial"/>
        </w:rPr>
        <w:t xml:space="preserve">. This will be according to the scope of practice of the volunteer attending, and as a minimum must include a primary survey, </w:t>
      </w:r>
      <w:r w:rsidR="006C3EC7">
        <w:rPr>
          <w:rFonts w:cs="Arial"/>
        </w:rPr>
        <w:t>a. secondary (</w:t>
      </w:r>
      <w:r w:rsidR="00004BB3">
        <w:rPr>
          <w:rFonts w:cs="Arial"/>
        </w:rPr>
        <w:t xml:space="preserve">including </w:t>
      </w:r>
      <w:r w:rsidR="006C3EC7">
        <w:rPr>
          <w:rFonts w:cs="Arial"/>
        </w:rPr>
        <w:t>‘top to toe’) survey</w:t>
      </w:r>
      <w:r w:rsidR="00E57851">
        <w:rPr>
          <w:rFonts w:cs="Arial"/>
        </w:rPr>
        <w:t>, and a complete set of observations from which to calculate a National Early Warning Score 2 (NEWS2) value.</w:t>
      </w:r>
      <w:r w:rsidR="00004BB3">
        <w:rPr>
          <w:rFonts w:cs="Arial"/>
        </w:rPr>
        <w:t xml:space="preserve"> It is recommended that the ISTUMBLE mnemonic is used to guide the secondary survey:</w:t>
      </w:r>
    </w:p>
    <w:p w14:paraId="642C57ED" w14:textId="13C2AE13" w:rsidR="00727F4C" w:rsidRDefault="00727F4C" w:rsidP="00727F4C">
      <w:pPr>
        <w:pStyle w:val="ListParagraph"/>
        <w:numPr>
          <w:ilvl w:val="0"/>
          <w:numId w:val="26"/>
        </w:numPr>
        <w:spacing w:after="240"/>
      </w:pPr>
      <w:r>
        <w:t>I</w:t>
      </w:r>
      <w:r w:rsidR="005653D7">
        <w:t>ntense pain</w:t>
      </w:r>
      <w:r w:rsidR="003B654D">
        <w:t xml:space="preserve"> (new or worsening)</w:t>
      </w:r>
      <w:r w:rsidR="00A33AB8">
        <w:t>?</w:t>
      </w:r>
    </w:p>
    <w:p w14:paraId="77CA7CBC" w14:textId="185611F0" w:rsidR="005653D7" w:rsidRDefault="005653D7" w:rsidP="00727F4C">
      <w:pPr>
        <w:pStyle w:val="ListParagraph"/>
        <w:numPr>
          <w:ilvl w:val="0"/>
          <w:numId w:val="26"/>
        </w:numPr>
        <w:spacing w:after="240"/>
      </w:pPr>
      <w:r>
        <w:t>Suspected collapse?</w:t>
      </w:r>
    </w:p>
    <w:p w14:paraId="7B839E57" w14:textId="4D83160A" w:rsidR="005653D7" w:rsidRDefault="005653D7" w:rsidP="00727F4C">
      <w:pPr>
        <w:pStyle w:val="ListParagraph"/>
        <w:numPr>
          <w:ilvl w:val="0"/>
          <w:numId w:val="26"/>
        </w:numPr>
        <w:spacing w:after="240"/>
      </w:pPr>
      <w:r>
        <w:t>Trauma to neck, back or head?</w:t>
      </w:r>
      <w:r w:rsidR="00017BDB">
        <w:t xml:space="preserve"> Taking blood thinning medication?</w:t>
      </w:r>
    </w:p>
    <w:p w14:paraId="6517B86C" w14:textId="20EF166C" w:rsidR="005653D7" w:rsidRDefault="00017BDB" w:rsidP="00727F4C">
      <w:pPr>
        <w:pStyle w:val="ListParagraph"/>
        <w:numPr>
          <w:ilvl w:val="0"/>
          <w:numId w:val="26"/>
        </w:numPr>
        <w:spacing w:after="240"/>
      </w:pPr>
      <w:r>
        <w:t>Unusual behaviour?</w:t>
      </w:r>
    </w:p>
    <w:p w14:paraId="08C9450A" w14:textId="216A3890" w:rsidR="00017BDB" w:rsidRDefault="00017BDB" w:rsidP="00727F4C">
      <w:pPr>
        <w:pStyle w:val="ListParagraph"/>
        <w:numPr>
          <w:ilvl w:val="0"/>
          <w:numId w:val="26"/>
        </w:numPr>
        <w:spacing w:after="240"/>
      </w:pPr>
      <w:r>
        <w:t>Marked difficulty in breathing and/or chest pain?</w:t>
      </w:r>
    </w:p>
    <w:p w14:paraId="7D17B7DA" w14:textId="20627EC6" w:rsidR="00017BDB" w:rsidRDefault="00017BDB" w:rsidP="00727F4C">
      <w:pPr>
        <w:pStyle w:val="ListParagraph"/>
        <w:numPr>
          <w:ilvl w:val="0"/>
          <w:numId w:val="26"/>
        </w:numPr>
        <w:spacing w:after="240"/>
      </w:pPr>
      <w:r>
        <w:t>Bleeding freely?</w:t>
      </w:r>
    </w:p>
    <w:p w14:paraId="69ED38D7" w14:textId="3D308A22" w:rsidR="00017BDB" w:rsidRDefault="00017BDB" w:rsidP="00727F4C">
      <w:pPr>
        <w:pStyle w:val="ListParagraph"/>
        <w:numPr>
          <w:ilvl w:val="0"/>
          <w:numId w:val="26"/>
        </w:numPr>
        <w:spacing w:after="240"/>
      </w:pPr>
      <w:r>
        <w:t>Loss of consciousness?</w:t>
      </w:r>
    </w:p>
    <w:p w14:paraId="70CB75BF" w14:textId="222B9CFA" w:rsidR="00017BDB" w:rsidRPr="00727F4C" w:rsidRDefault="00017BDB" w:rsidP="00727F4C">
      <w:pPr>
        <w:pStyle w:val="ListParagraph"/>
        <w:numPr>
          <w:ilvl w:val="0"/>
          <w:numId w:val="26"/>
        </w:numPr>
        <w:spacing w:after="240"/>
      </w:pPr>
      <w:r>
        <w:lastRenderedPageBreak/>
        <w:t>Evidence of fracture?</w:t>
      </w:r>
    </w:p>
    <w:p w14:paraId="515C9967" w14:textId="4B792C2A" w:rsidR="00004BB3" w:rsidRDefault="00D91E20" w:rsidP="00854F33">
      <w:pPr>
        <w:numPr>
          <w:ilvl w:val="3"/>
          <w:numId w:val="8"/>
        </w:numPr>
        <w:spacing w:after="240"/>
        <w:rPr>
          <w:rFonts w:cs="Arial"/>
        </w:rPr>
      </w:pPr>
      <w:r>
        <w:rPr>
          <w:rFonts w:cs="Arial"/>
        </w:rPr>
        <w:t xml:space="preserve">Where any findings of concern are identified during the initial assessment, the Responder must </w:t>
      </w:r>
      <w:r w:rsidR="00EC770C">
        <w:rPr>
          <w:rFonts w:cs="Arial"/>
        </w:rPr>
        <w:t>contact EOC immediately to request emergency backup. Examples of findings of concern include, but are not limited to:</w:t>
      </w:r>
    </w:p>
    <w:p w14:paraId="168443B6" w14:textId="6AFA7E37" w:rsidR="00DC57AF" w:rsidRDefault="00DC57AF" w:rsidP="00C21093">
      <w:pPr>
        <w:pStyle w:val="ListParagraph"/>
        <w:numPr>
          <w:ilvl w:val="0"/>
          <w:numId w:val="27"/>
        </w:numPr>
        <w:spacing w:after="240"/>
      </w:pPr>
      <w:r>
        <w:t>Any deficit identified within the primary survey</w:t>
      </w:r>
      <w:r w:rsidR="00A33AB8">
        <w:t>.</w:t>
      </w:r>
    </w:p>
    <w:p w14:paraId="3C404D95" w14:textId="01CFA89D" w:rsidR="00C21093" w:rsidRDefault="00C21093" w:rsidP="00C21093">
      <w:pPr>
        <w:pStyle w:val="ListParagraph"/>
        <w:numPr>
          <w:ilvl w:val="0"/>
          <w:numId w:val="27"/>
        </w:numPr>
        <w:spacing w:after="240"/>
      </w:pPr>
      <w:r>
        <w:t>Obvious injury such as limb deformity or head injury</w:t>
      </w:r>
      <w:r w:rsidR="00DC57AF">
        <w:t>.</w:t>
      </w:r>
    </w:p>
    <w:p w14:paraId="4A8F9839" w14:textId="2CCED9DF" w:rsidR="00DC57AF" w:rsidRDefault="00A33AB8" w:rsidP="00C21093">
      <w:pPr>
        <w:pStyle w:val="ListParagraph"/>
        <w:numPr>
          <w:ilvl w:val="0"/>
          <w:numId w:val="27"/>
        </w:numPr>
        <w:spacing w:after="240"/>
      </w:pPr>
      <w:r>
        <w:t>Large or significant wound.</w:t>
      </w:r>
    </w:p>
    <w:p w14:paraId="2119BB41" w14:textId="2A01C363" w:rsidR="00A33AB8" w:rsidRDefault="00A33AB8" w:rsidP="00C21093">
      <w:pPr>
        <w:pStyle w:val="ListParagraph"/>
        <w:numPr>
          <w:ilvl w:val="0"/>
          <w:numId w:val="27"/>
        </w:numPr>
        <w:spacing w:after="240"/>
      </w:pPr>
      <w:r>
        <w:t>Presence of any element of the ISTUMBLE mnemonic (see above)</w:t>
      </w:r>
    </w:p>
    <w:p w14:paraId="71A9C8C5" w14:textId="3E346541" w:rsidR="00A33AB8" w:rsidRDefault="009F3AED" w:rsidP="00C21093">
      <w:pPr>
        <w:pStyle w:val="ListParagraph"/>
        <w:numPr>
          <w:ilvl w:val="0"/>
          <w:numId w:val="27"/>
        </w:numPr>
        <w:spacing w:after="240"/>
      </w:pPr>
      <w:r>
        <w:t xml:space="preserve">NEWS2 </w:t>
      </w:r>
      <w:r w:rsidR="002F0571">
        <w:t>value</w:t>
      </w:r>
      <w:r w:rsidR="003B654D">
        <w:t xml:space="preserve"> equal to or</w:t>
      </w:r>
      <w:r>
        <w:t xml:space="preserve"> greater than </w:t>
      </w:r>
      <w:r w:rsidR="004A1449">
        <w:t>5</w:t>
      </w:r>
      <w:r w:rsidR="003A10F2">
        <w:t xml:space="preserve"> (or any individual component score of 3)</w:t>
      </w:r>
      <w:r w:rsidR="00E71F16">
        <w:t>.</w:t>
      </w:r>
    </w:p>
    <w:p w14:paraId="68DA897F" w14:textId="09C1CDAE" w:rsidR="005B4857" w:rsidRPr="00C21093" w:rsidRDefault="005B4857" w:rsidP="00C21093">
      <w:pPr>
        <w:pStyle w:val="ListParagraph"/>
        <w:numPr>
          <w:ilvl w:val="0"/>
          <w:numId w:val="27"/>
        </w:numPr>
        <w:spacing w:after="240"/>
      </w:pPr>
      <w:r>
        <w:t xml:space="preserve">Significant anxiety or concern about being </w:t>
      </w:r>
      <w:r w:rsidR="00C9235A">
        <w:t>helped up from the floor</w:t>
      </w:r>
    </w:p>
    <w:p w14:paraId="5419EE24" w14:textId="0BEB7AA8" w:rsidR="00EC770C" w:rsidRDefault="00727F4C" w:rsidP="00854F33">
      <w:pPr>
        <w:numPr>
          <w:ilvl w:val="3"/>
          <w:numId w:val="8"/>
        </w:numPr>
        <w:spacing w:after="240"/>
        <w:rPr>
          <w:rFonts w:cs="Arial"/>
        </w:rPr>
      </w:pPr>
      <w:r>
        <w:rPr>
          <w:rFonts w:cs="Arial"/>
        </w:rPr>
        <w:t xml:space="preserve">If the </w:t>
      </w:r>
      <w:r w:rsidR="003B654D">
        <w:rPr>
          <w:rFonts w:cs="Arial"/>
        </w:rPr>
        <w:t>patient has no findings of concern,</w:t>
      </w:r>
      <w:r w:rsidR="005B4857">
        <w:rPr>
          <w:rFonts w:cs="Arial"/>
        </w:rPr>
        <w:t xml:space="preserve"> </w:t>
      </w:r>
      <w:r w:rsidR="00CD38BE">
        <w:rPr>
          <w:rFonts w:cs="Arial"/>
        </w:rPr>
        <w:t xml:space="preserve">EOC should be contacted routinely to advise that no further resources are required at this stage, and </w:t>
      </w:r>
      <w:r w:rsidR="005B4857">
        <w:rPr>
          <w:rFonts w:cs="Arial"/>
        </w:rPr>
        <w:t>a discussion should commence with the patient about methods of trying to assist them off the floor.</w:t>
      </w:r>
    </w:p>
    <w:p w14:paraId="69385F36" w14:textId="529E5BBD" w:rsidR="00C9235A" w:rsidRDefault="00F44FF2" w:rsidP="00854F33">
      <w:pPr>
        <w:numPr>
          <w:ilvl w:val="3"/>
          <w:numId w:val="8"/>
        </w:numPr>
        <w:spacing w:after="240"/>
        <w:rPr>
          <w:rFonts w:cs="Arial"/>
        </w:rPr>
      </w:pPr>
      <w:r>
        <w:rPr>
          <w:rFonts w:cs="Arial"/>
        </w:rPr>
        <w:t xml:space="preserve">Where the patient is going to remain in position on the floor (for example due to requiring </w:t>
      </w:r>
      <w:r w:rsidR="00EA624F">
        <w:rPr>
          <w:rFonts w:cs="Arial"/>
        </w:rPr>
        <w:t>backup) or assisting them up may be delayed (for example if waiting for additional support or equipment) then comfort measures should be</w:t>
      </w:r>
      <w:r w:rsidR="00306FA6">
        <w:rPr>
          <w:rFonts w:cs="Arial"/>
        </w:rPr>
        <w:t xml:space="preserve"> applied. These are intended to reduce the risks associated with a long lie. </w:t>
      </w:r>
      <w:r w:rsidR="00D07EC2">
        <w:rPr>
          <w:rFonts w:cs="Arial"/>
        </w:rPr>
        <w:t>Patients who remain on the floor whilst in the care of a Responder should receive the following comfort measures:</w:t>
      </w:r>
    </w:p>
    <w:p w14:paraId="435815AA" w14:textId="73D9B72D" w:rsidR="00D07EC2" w:rsidRDefault="00D07EC2" w:rsidP="00D07EC2">
      <w:pPr>
        <w:pStyle w:val="ListParagraph"/>
        <w:numPr>
          <w:ilvl w:val="0"/>
          <w:numId w:val="28"/>
        </w:numPr>
        <w:spacing w:after="240"/>
      </w:pPr>
      <w:r>
        <w:t>Verbal reassurance</w:t>
      </w:r>
    </w:p>
    <w:p w14:paraId="1AA4A6F0" w14:textId="6DBD99B1" w:rsidR="00D07EC2" w:rsidRDefault="00D07EC2" w:rsidP="00D07EC2">
      <w:pPr>
        <w:pStyle w:val="ListParagraph"/>
        <w:numPr>
          <w:ilvl w:val="0"/>
          <w:numId w:val="28"/>
        </w:numPr>
        <w:spacing w:after="240"/>
      </w:pPr>
      <w:r>
        <w:t>Warming (</w:t>
      </w:r>
      <w:r w:rsidR="00BA7238">
        <w:t>mindful that frail patients may become hypothermic even on a relatively warm day, particularly when on a cold or hard surface).</w:t>
      </w:r>
    </w:p>
    <w:p w14:paraId="5DF0AAEF" w14:textId="255F8115" w:rsidR="007E4868" w:rsidRDefault="007E4868" w:rsidP="00D07EC2">
      <w:pPr>
        <w:pStyle w:val="ListParagraph"/>
        <w:numPr>
          <w:ilvl w:val="0"/>
          <w:numId w:val="28"/>
        </w:numPr>
        <w:spacing w:after="240"/>
      </w:pPr>
      <w:r>
        <w:t>Easing of pressure areas.</w:t>
      </w:r>
    </w:p>
    <w:p w14:paraId="64CEA9A2" w14:textId="1A4A696E" w:rsidR="007E4868" w:rsidRDefault="007E4868" w:rsidP="00D07EC2">
      <w:pPr>
        <w:pStyle w:val="ListParagraph"/>
        <w:numPr>
          <w:ilvl w:val="0"/>
          <w:numId w:val="28"/>
        </w:numPr>
        <w:spacing w:after="240"/>
      </w:pPr>
      <w:r>
        <w:t>Hydration – offer fluids and encourage patient to drink to ease thirst.</w:t>
      </w:r>
    </w:p>
    <w:p w14:paraId="34B45D96" w14:textId="4273F20E" w:rsidR="007E4868" w:rsidRDefault="002457BA" w:rsidP="00D07EC2">
      <w:pPr>
        <w:pStyle w:val="ListParagraph"/>
        <w:numPr>
          <w:ilvl w:val="0"/>
          <w:numId w:val="28"/>
        </w:numPr>
        <w:spacing w:after="240"/>
      </w:pPr>
      <w:r>
        <w:t>Support patients to take planned medications. Note that Volunteer Responders cannot administer parenteral medications. Where there is any date of concern, seek decision-making support from a clinician using the ECAL procedure.</w:t>
      </w:r>
    </w:p>
    <w:p w14:paraId="7C57209A" w14:textId="758253E1" w:rsidR="002457BA" w:rsidRDefault="002457BA" w:rsidP="00D07EC2">
      <w:pPr>
        <w:pStyle w:val="ListParagraph"/>
        <w:numPr>
          <w:ilvl w:val="0"/>
          <w:numId w:val="28"/>
        </w:numPr>
        <w:spacing w:after="240"/>
      </w:pPr>
      <w:r>
        <w:t>Prepare to support potential incontinence (reassurance, placing of pads, removing excess clothing which may cause skin damage if saturated with urine. Note that Volunteer Responders must not provide personal care.</w:t>
      </w:r>
    </w:p>
    <w:p w14:paraId="519FF8B7" w14:textId="61CE1FCF" w:rsidR="002457BA" w:rsidRPr="00D07EC2" w:rsidRDefault="002457BA" w:rsidP="00D07EC2">
      <w:pPr>
        <w:pStyle w:val="ListParagraph"/>
        <w:numPr>
          <w:ilvl w:val="0"/>
          <w:numId w:val="28"/>
        </w:numPr>
        <w:spacing w:after="240"/>
      </w:pPr>
      <w:r>
        <w:t>Consider nutrition</w:t>
      </w:r>
      <w:r w:rsidR="00EA4524">
        <w:t xml:space="preserve"> (request urgent clinical guidance via ECAL for patients with conditions such as Type 1 diabetes).</w:t>
      </w:r>
    </w:p>
    <w:p w14:paraId="440FD8EE" w14:textId="7F118564" w:rsidR="00D07EC2" w:rsidRDefault="00D83033" w:rsidP="00854F33">
      <w:pPr>
        <w:numPr>
          <w:ilvl w:val="3"/>
          <w:numId w:val="8"/>
        </w:numPr>
        <w:spacing w:after="240"/>
        <w:rPr>
          <w:rFonts w:cs="Arial"/>
        </w:rPr>
      </w:pPr>
      <w:r>
        <w:rPr>
          <w:rFonts w:cs="Arial"/>
        </w:rPr>
        <w:t>Following assessment and applying any comfort measures necessary, attempts should be made to assist the patient off the floor and back to a position of safety and comfort (i.e. a suitable chair or bed).</w:t>
      </w:r>
    </w:p>
    <w:p w14:paraId="0A9D8C78" w14:textId="35DF4B8E" w:rsidR="00D83033" w:rsidRDefault="0078204A" w:rsidP="00854F33">
      <w:pPr>
        <w:numPr>
          <w:ilvl w:val="3"/>
          <w:numId w:val="8"/>
        </w:numPr>
        <w:spacing w:after="240"/>
        <w:rPr>
          <w:rFonts w:cs="Arial"/>
        </w:rPr>
      </w:pPr>
      <w:r>
        <w:rPr>
          <w:rFonts w:cs="Arial"/>
        </w:rPr>
        <w:t xml:space="preserve">Any </w:t>
      </w:r>
      <w:r w:rsidR="00A80512">
        <w:rPr>
          <w:rFonts w:cs="Arial"/>
        </w:rPr>
        <w:t xml:space="preserve">attempt to lift the patient should include a dynamic risk assessment </w:t>
      </w:r>
      <w:r w:rsidR="00140A96">
        <w:rPr>
          <w:rFonts w:cs="Arial"/>
        </w:rPr>
        <w:t xml:space="preserve">and should </w:t>
      </w:r>
      <w:r w:rsidR="00FF52AE">
        <w:rPr>
          <w:rFonts w:cs="Arial"/>
        </w:rPr>
        <w:t>use the least</w:t>
      </w:r>
      <w:r w:rsidR="00D108D1">
        <w:rPr>
          <w:rFonts w:cs="Arial"/>
        </w:rPr>
        <w:t xml:space="preserve"> physically</w:t>
      </w:r>
      <w:r w:rsidR="00FF52AE">
        <w:rPr>
          <w:rFonts w:cs="Arial"/>
        </w:rPr>
        <w:t xml:space="preserve"> demanding method which is effective.</w:t>
      </w:r>
    </w:p>
    <w:p w14:paraId="27B1CBC4" w14:textId="64708B92" w:rsidR="001B1AA7" w:rsidRDefault="001B1AA7" w:rsidP="00854F33">
      <w:pPr>
        <w:numPr>
          <w:ilvl w:val="3"/>
          <w:numId w:val="8"/>
        </w:numPr>
        <w:spacing w:after="240"/>
        <w:rPr>
          <w:rFonts w:cs="Arial"/>
        </w:rPr>
      </w:pPr>
      <w:r>
        <w:rPr>
          <w:rFonts w:cs="Arial"/>
        </w:rPr>
        <w:lastRenderedPageBreak/>
        <w:t>Initially, patients should be coached to self-mobilise, with guidance</w:t>
      </w:r>
      <w:r w:rsidR="00210488">
        <w:rPr>
          <w:rFonts w:cs="Arial"/>
        </w:rPr>
        <w:t xml:space="preserve"> and encouragement</w:t>
      </w:r>
      <w:r>
        <w:rPr>
          <w:rFonts w:cs="Arial"/>
        </w:rPr>
        <w:t xml:space="preserve"> from the Responder.</w:t>
      </w:r>
      <w:r w:rsidR="00210488">
        <w:rPr>
          <w:rFonts w:cs="Arial"/>
        </w:rPr>
        <w:t xml:space="preserve"> If the patient lacks the strength to do this, they should not be pressured to try harder, but </w:t>
      </w:r>
      <w:r w:rsidR="00B35389">
        <w:rPr>
          <w:rFonts w:cs="Arial"/>
        </w:rPr>
        <w:t>the Responder should move to the next option.</w:t>
      </w:r>
    </w:p>
    <w:p w14:paraId="4B830370" w14:textId="7E9B6097" w:rsidR="00B35389" w:rsidRDefault="009C3317" w:rsidP="00854F33">
      <w:pPr>
        <w:numPr>
          <w:ilvl w:val="3"/>
          <w:numId w:val="8"/>
        </w:numPr>
        <w:spacing w:after="240"/>
        <w:rPr>
          <w:rFonts w:cs="Arial"/>
        </w:rPr>
      </w:pPr>
      <w:r>
        <w:rPr>
          <w:rFonts w:cs="Arial"/>
        </w:rPr>
        <w:t>Patients who are unable to self-mobilise may be physically supported by the Responder to mobilise using formal techniques which have been taught during Patient Handling training.</w:t>
      </w:r>
      <w:r w:rsidR="00060939">
        <w:rPr>
          <w:rFonts w:cs="Arial"/>
        </w:rPr>
        <w:t xml:space="preserve"> No techniques or methods should be used which involve taking the patient’s bodyweight, and where this is </w:t>
      </w:r>
      <w:proofErr w:type="gramStart"/>
      <w:r w:rsidR="00060939">
        <w:rPr>
          <w:rFonts w:cs="Arial"/>
        </w:rPr>
        <w:t>required</w:t>
      </w:r>
      <w:proofErr w:type="gramEnd"/>
      <w:r w:rsidR="00060939">
        <w:rPr>
          <w:rFonts w:cs="Arial"/>
        </w:rPr>
        <w:t xml:space="preserve"> the Responder should move to the next option.</w:t>
      </w:r>
    </w:p>
    <w:p w14:paraId="08203DF3" w14:textId="1168D10D" w:rsidR="008B1957" w:rsidRDefault="008B1957" w:rsidP="00854F33">
      <w:pPr>
        <w:numPr>
          <w:ilvl w:val="3"/>
          <w:numId w:val="8"/>
        </w:numPr>
        <w:spacing w:after="240"/>
        <w:rPr>
          <w:rFonts w:cs="Arial"/>
        </w:rPr>
      </w:pPr>
      <w:r>
        <w:rPr>
          <w:rFonts w:cs="Arial"/>
        </w:rPr>
        <w:t xml:space="preserve">Patients who are unable to be supported up from the floor will require manual handling equipment to support them up (such as a </w:t>
      </w:r>
      <w:proofErr w:type="spellStart"/>
      <w:r>
        <w:rPr>
          <w:rFonts w:cs="Arial"/>
        </w:rPr>
        <w:t>Raizer</w:t>
      </w:r>
      <w:proofErr w:type="spellEnd"/>
      <w:r>
        <w:rPr>
          <w:rFonts w:cs="Arial"/>
        </w:rPr>
        <w:t xml:space="preserve"> Chair</w:t>
      </w:r>
      <w:r w:rsidR="002620AD">
        <w:rPr>
          <w:rFonts w:cs="Arial"/>
        </w:rPr>
        <w:t xml:space="preserve"> or</w:t>
      </w:r>
      <w:r>
        <w:rPr>
          <w:rFonts w:cs="Arial"/>
        </w:rPr>
        <w:t xml:space="preserve"> Mangar lifting cushion,</w:t>
      </w:r>
      <w:r w:rsidR="002620AD">
        <w:rPr>
          <w:rFonts w:cs="Arial"/>
        </w:rPr>
        <w:t xml:space="preserve"> along with aids such as handling belts or </w:t>
      </w:r>
      <w:r w:rsidR="004858C1">
        <w:rPr>
          <w:rFonts w:cs="Arial"/>
        </w:rPr>
        <w:t>slide sheets</w:t>
      </w:r>
      <w:r w:rsidR="002620AD">
        <w:rPr>
          <w:rFonts w:cs="Arial"/>
        </w:rPr>
        <w:t>).</w:t>
      </w:r>
    </w:p>
    <w:p w14:paraId="643D220A" w14:textId="7EE53744" w:rsidR="002620AD" w:rsidRDefault="000930A3" w:rsidP="00854F33">
      <w:pPr>
        <w:numPr>
          <w:ilvl w:val="3"/>
          <w:numId w:val="8"/>
        </w:numPr>
        <w:spacing w:after="240"/>
        <w:rPr>
          <w:rFonts w:cs="Arial"/>
        </w:rPr>
      </w:pPr>
      <w:r>
        <w:rPr>
          <w:rFonts w:cs="Arial"/>
        </w:rPr>
        <w:t xml:space="preserve">Responders should only use equipment in which they have been trained (competent) and feel capable of using (confident). </w:t>
      </w:r>
      <w:r w:rsidR="00455D26">
        <w:rPr>
          <w:rFonts w:cs="Arial"/>
        </w:rPr>
        <w:t xml:space="preserve">Where this is not the case, where equipment is not available </w:t>
      </w:r>
      <w:r w:rsidR="00933C8B">
        <w:rPr>
          <w:rFonts w:cs="Arial"/>
        </w:rPr>
        <w:t xml:space="preserve">for any reason, or where attempts to use equipment </w:t>
      </w:r>
      <w:r w:rsidR="00D728A7">
        <w:rPr>
          <w:rFonts w:cs="Arial"/>
        </w:rPr>
        <w:t>have been unsuccessful</w:t>
      </w:r>
      <w:r w:rsidR="00933C8B">
        <w:rPr>
          <w:rFonts w:cs="Arial"/>
        </w:rPr>
        <w:t xml:space="preserve">, the patient </w:t>
      </w:r>
      <w:r w:rsidR="00D728A7">
        <w:rPr>
          <w:rFonts w:cs="Arial"/>
        </w:rPr>
        <w:t>should be carefully and safely returned to the floor</w:t>
      </w:r>
      <w:r w:rsidR="009C62E3">
        <w:rPr>
          <w:rFonts w:cs="Arial"/>
        </w:rPr>
        <w:t xml:space="preserve"> – although consideration can be given to placing a duvet, blanket or other padding under the patient if possible.</w:t>
      </w:r>
      <w:r w:rsidR="00971B1B">
        <w:rPr>
          <w:rFonts w:cs="Arial"/>
        </w:rPr>
        <w:t xml:space="preserve"> In these </w:t>
      </w:r>
      <w:proofErr w:type="gramStart"/>
      <w:r w:rsidR="00971B1B">
        <w:rPr>
          <w:rFonts w:cs="Arial"/>
        </w:rPr>
        <w:t>cases</w:t>
      </w:r>
      <w:proofErr w:type="gramEnd"/>
      <w:r w:rsidR="00971B1B">
        <w:rPr>
          <w:rFonts w:cs="Arial"/>
        </w:rPr>
        <w:t xml:space="preserve"> </w:t>
      </w:r>
      <w:r w:rsidR="00C8037A">
        <w:rPr>
          <w:rFonts w:cs="Arial"/>
        </w:rPr>
        <w:t xml:space="preserve">the Responder should </w:t>
      </w:r>
      <w:r w:rsidR="00494868">
        <w:rPr>
          <w:rFonts w:cs="Arial"/>
        </w:rPr>
        <w:t xml:space="preserve">request a </w:t>
      </w:r>
      <w:r w:rsidR="006B6D38">
        <w:rPr>
          <w:rFonts w:cs="Arial"/>
        </w:rPr>
        <w:t>remote clinical</w:t>
      </w:r>
      <w:r w:rsidR="00494868">
        <w:rPr>
          <w:rFonts w:cs="Arial"/>
        </w:rPr>
        <w:t xml:space="preserve"> consultation</w:t>
      </w:r>
      <w:r w:rsidR="00C8037A">
        <w:rPr>
          <w:rFonts w:cs="Arial"/>
        </w:rPr>
        <w:t xml:space="preserve"> via ECAL to discuss </w:t>
      </w:r>
      <w:proofErr w:type="gramStart"/>
      <w:r w:rsidR="00C8037A">
        <w:rPr>
          <w:rFonts w:cs="Arial"/>
        </w:rPr>
        <w:t>options, or</w:t>
      </w:r>
      <w:proofErr w:type="gramEnd"/>
      <w:r w:rsidR="00C8037A">
        <w:rPr>
          <w:rFonts w:cs="Arial"/>
        </w:rPr>
        <w:t xml:space="preserve"> </w:t>
      </w:r>
      <w:r w:rsidR="00654586">
        <w:rPr>
          <w:rFonts w:cs="Arial"/>
        </w:rPr>
        <w:t xml:space="preserve">contact EOC to </w:t>
      </w:r>
      <w:r w:rsidR="0034460A">
        <w:rPr>
          <w:rFonts w:cs="Arial"/>
        </w:rPr>
        <w:t>escalate for emergency backup</w:t>
      </w:r>
      <w:r w:rsidR="00533BB1">
        <w:rPr>
          <w:rFonts w:cs="Arial"/>
        </w:rPr>
        <w:t xml:space="preserve"> </w:t>
      </w:r>
      <w:r w:rsidR="007B3793">
        <w:rPr>
          <w:rFonts w:cs="Arial"/>
        </w:rPr>
        <w:t>if any findings of concern are identified</w:t>
      </w:r>
      <w:r w:rsidR="0034460A">
        <w:rPr>
          <w:rFonts w:cs="Arial"/>
        </w:rPr>
        <w:t>.</w:t>
      </w:r>
    </w:p>
    <w:p w14:paraId="178C0E6F" w14:textId="1E063509" w:rsidR="009C62E3" w:rsidRDefault="009C62E3" w:rsidP="00854F33">
      <w:pPr>
        <w:numPr>
          <w:ilvl w:val="3"/>
          <w:numId w:val="8"/>
        </w:numPr>
        <w:spacing w:after="240"/>
        <w:rPr>
          <w:rFonts w:cs="Arial"/>
        </w:rPr>
      </w:pPr>
      <w:r>
        <w:rPr>
          <w:rFonts w:cs="Arial"/>
        </w:rPr>
        <w:t xml:space="preserve">Once </w:t>
      </w:r>
      <w:r w:rsidR="005D3684">
        <w:rPr>
          <w:rFonts w:cs="Arial"/>
        </w:rPr>
        <w:t xml:space="preserve">the patient is safely back in their chair or bed, they should be reassessed (including obtaining a further set of observations) </w:t>
      </w:r>
      <w:r w:rsidR="009539CE">
        <w:rPr>
          <w:rFonts w:cs="Arial"/>
        </w:rPr>
        <w:t xml:space="preserve">and the Responder should </w:t>
      </w:r>
      <w:r w:rsidR="00674EA5">
        <w:rPr>
          <w:rFonts w:cs="Arial"/>
        </w:rPr>
        <w:t xml:space="preserve">request a </w:t>
      </w:r>
      <w:r w:rsidR="006B6D38">
        <w:rPr>
          <w:rFonts w:cs="Arial"/>
        </w:rPr>
        <w:t>remote clinical</w:t>
      </w:r>
      <w:r w:rsidR="00674EA5">
        <w:rPr>
          <w:rFonts w:cs="Arial"/>
        </w:rPr>
        <w:t xml:space="preserve"> </w:t>
      </w:r>
      <w:r w:rsidR="009403AF">
        <w:rPr>
          <w:rFonts w:cs="Arial"/>
        </w:rPr>
        <w:t>c</w:t>
      </w:r>
      <w:r w:rsidR="00674EA5">
        <w:rPr>
          <w:rFonts w:cs="Arial"/>
        </w:rPr>
        <w:t>onsultation</w:t>
      </w:r>
      <w:r w:rsidR="009539CE">
        <w:rPr>
          <w:rFonts w:cs="Arial"/>
        </w:rPr>
        <w:t xml:space="preserve"> via ECAL to discuss the next phase of care.</w:t>
      </w:r>
    </w:p>
    <w:p w14:paraId="0F037AA9" w14:textId="494B3075" w:rsidR="009539CE" w:rsidRDefault="009539CE" w:rsidP="00854F33">
      <w:pPr>
        <w:numPr>
          <w:ilvl w:val="3"/>
          <w:numId w:val="8"/>
        </w:numPr>
        <w:spacing w:after="240"/>
        <w:rPr>
          <w:rFonts w:cs="Arial"/>
        </w:rPr>
      </w:pPr>
      <w:r>
        <w:rPr>
          <w:rFonts w:cs="Arial"/>
        </w:rPr>
        <w:t>If at any stage the patient’s condition change</w:t>
      </w:r>
      <w:r w:rsidR="000009C2">
        <w:rPr>
          <w:rFonts w:cs="Arial"/>
        </w:rPr>
        <w:t>s</w:t>
      </w:r>
      <w:r w:rsidR="00450559">
        <w:rPr>
          <w:rFonts w:cs="Arial"/>
        </w:rPr>
        <w:t xml:space="preserve"> and new findings of concern are identified (see </w:t>
      </w:r>
      <w:r w:rsidR="00450559" w:rsidRPr="001F06EE">
        <w:rPr>
          <w:rFonts w:cs="Arial"/>
        </w:rPr>
        <w:t>paragraph 5.4.3.2</w:t>
      </w:r>
      <w:r w:rsidR="00450559">
        <w:rPr>
          <w:rFonts w:cs="Arial"/>
        </w:rPr>
        <w:t>), the Responder must contact EOC immediately to request emergency backup.</w:t>
      </w:r>
    </w:p>
    <w:p w14:paraId="38C6CE5F" w14:textId="3EFFB611" w:rsidR="001E7441" w:rsidRPr="00AC4211" w:rsidRDefault="001E7441" w:rsidP="003A7D19">
      <w:pPr>
        <w:numPr>
          <w:ilvl w:val="1"/>
          <w:numId w:val="8"/>
        </w:numPr>
        <w:spacing w:after="240"/>
        <w:rPr>
          <w:rFonts w:cs="Arial"/>
          <w:b/>
          <w:bCs/>
          <w:sz w:val="28"/>
          <w:szCs w:val="21"/>
        </w:rPr>
      </w:pPr>
      <w:r w:rsidRPr="00AC4211">
        <w:rPr>
          <w:rFonts w:cs="Arial"/>
          <w:b/>
          <w:bCs/>
          <w:sz w:val="28"/>
          <w:szCs w:val="21"/>
        </w:rPr>
        <w:t xml:space="preserve">Phase </w:t>
      </w:r>
      <w:r w:rsidR="00A1704E" w:rsidRPr="00AC4211">
        <w:rPr>
          <w:rFonts w:cs="Arial"/>
          <w:b/>
          <w:bCs/>
          <w:sz w:val="28"/>
          <w:szCs w:val="21"/>
        </w:rPr>
        <w:t>three</w:t>
      </w:r>
      <w:r w:rsidRPr="00AC4211">
        <w:rPr>
          <w:rFonts w:cs="Arial"/>
          <w:b/>
          <w:bCs/>
          <w:sz w:val="28"/>
          <w:szCs w:val="21"/>
        </w:rPr>
        <w:t xml:space="preserve"> </w:t>
      </w:r>
      <w:r w:rsidR="00297E81" w:rsidRPr="00AC4211">
        <w:rPr>
          <w:rFonts w:cs="Arial"/>
          <w:b/>
          <w:bCs/>
          <w:sz w:val="28"/>
          <w:szCs w:val="21"/>
        </w:rPr>
        <w:t>–</w:t>
      </w:r>
      <w:r w:rsidRPr="00AC4211">
        <w:rPr>
          <w:rFonts w:cs="Arial"/>
          <w:b/>
          <w:bCs/>
          <w:sz w:val="28"/>
          <w:szCs w:val="21"/>
        </w:rPr>
        <w:t xml:space="preserve"> </w:t>
      </w:r>
      <w:r w:rsidR="00297E81" w:rsidRPr="00AC4211">
        <w:rPr>
          <w:rFonts w:cs="Arial"/>
          <w:b/>
          <w:bCs/>
          <w:sz w:val="28"/>
          <w:szCs w:val="21"/>
        </w:rPr>
        <w:t>continuation of care</w:t>
      </w:r>
    </w:p>
    <w:p w14:paraId="67094D19" w14:textId="3883D659" w:rsidR="00D23E64" w:rsidRDefault="00D23E64" w:rsidP="00D23E64">
      <w:pPr>
        <w:numPr>
          <w:ilvl w:val="2"/>
          <w:numId w:val="8"/>
        </w:numPr>
        <w:spacing w:after="240"/>
        <w:rPr>
          <w:rFonts w:cs="Arial"/>
        </w:rPr>
      </w:pPr>
      <w:r w:rsidRPr="00AC4211">
        <w:rPr>
          <w:rFonts w:cs="Arial"/>
          <w:b/>
          <w:bCs/>
        </w:rPr>
        <w:t>Purpose:</w:t>
      </w:r>
      <w:r>
        <w:rPr>
          <w:rFonts w:cs="Arial"/>
        </w:rPr>
        <w:t xml:space="preserve"> to ensure that appropriate clinical oversight</w:t>
      </w:r>
      <w:r w:rsidR="00725030">
        <w:rPr>
          <w:rFonts w:cs="Arial"/>
        </w:rPr>
        <w:t xml:space="preserve"> is </w:t>
      </w:r>
      <w:r w:rsidR="00EB751E">
        <w:rPr>
          <w:rFonts w:cs="Arial"/>
        </w:rPr>
        <w:t>maintained</w:t>
      </w:r>
      <w:r w:rsidR="00725030">
        <w:rPr>
          <w:rFonts w:cs="Arial"/>
        </w:rPr>
        <w:t xml:space="preserve"> and the patient is referred for suitable community-based follow up</w:t>
      </w:r>
      <w:r w:rsidR="00661442">
        <w:rPr>
          <w:rFonts w:cs="Arial"/>
        </w:rPr>
        <w:t xml:space="preserve"> </w:t>
      </w:r>
      <w:r w:rsidR="00EB751E">
        <w:rPr>
          <w:rFonts w:cs="Arial"/>
        </w:rPr>
        <w:t>to complete the episode of care.</w:t>
      </w:r>
    </w:p>
    <w:p w14:paraId="73A0A36C" w14:textId="121BE531" w:rsidR="00D23E64" w:rsidRPr="00AC4211" w:rsidRDefault="00D23E64" w:rsidP="00D23E64">
      <w:pPr>
        <w:numPr>
          <w:ilvl w:val="2"/>
          <w:numId w:val="8"/>
        </w:numPr>
        <w:spacing w:after="240"/>
        <w:rPr>
          <w:rFonts w:cs="Arial"/>
          <w:b/>
          <w:bCs/>
        </w:rPr>
      </w:pPr>
      <w:r w:rsidRPr="00AC4211">
        <w:rPr>
          <w:rFonts w:cs="Arial"/>
          <w:b/>
          <w:bCs/>
        </w:rPr>
        <w:t xml:space="preserve">Priorities: </w:t>
      </w:r>
    </w:p>
    <w:p w14:paraId="3BB0C612" w14:textId="6F553D2F" w:rsidR="00D23E64" w:rsidRDefault="00D22E4F" w:rsidP="00D23E64">
      <w:pPr>
        <w:numPr>
          <w:ilvl w:val="3"/>
          <w:numId w:val="8"/>
        </w:numPr>
        <w:spacing w:after="240"/>
        <w:rPr>
          <w:rFonts w:cs="Arial"/>
        </w:rPr>
      </w:pPr>
      <w:r>
        <w:rPr>
          <w:rFonts w:cs="Arial"/>
        </w:rPr>
        <w:t xml:space="preserve">All incidents attended by a Volunteer Responder must be </w:t>
      </w:r>
      <w:r w:rsidR="00E77B2D">
        <w:rPr>
          <w:rFonts w:cs="Arial"/>
        </w:rPr>
        <w:t xml:space="preserve">contemporaneously reviewed by a clinician </w:t>
      </w:r>
      <w:r w:rsidR="009C40DC">
        <w:rPr>
          <w:rFonts w:cs="Arial"/>
        </w:rPr>
        <w:t xml:space="preserve">(either on scene or remotely) </w:t>
      </w:r>
      <w:r w:rsidR="00E77B2D">
        <w:rPr>
          <w:rFonts w:cs="Arial"/>
        </w:rPr>
        <w:t>prior to the Volunteer Responder leaving scene.</w:t>
      </w:r>
    </w:p>
    <w:p w14:paraId="7B5746F2" w14:textId="6439E86E" w:rsidR="009C40DC" w:rsidRDefault="009C40DC" w:rsidP="00D23E64">
      <w:pPr>
        <w:numPr>
          <w:ilvl w:val="3"/>
          <w:numId w:val="8"/>
        </w:numPr>
        <w:spacing w:after="240"/>
        <w:rPr>
          <w:rFonts w:cs="Arial"/>
        </w:rPr>
      </w:pPr>
      <w:r>
        <w:rPr>
          <w:rFonts w:cs="Arial"/>
        </w:rPr>
        <w:t xml:space="preserve">All patients must receive adequate and </w:t>
      </w:r>
      <w:r w:rsidR="002969C2">
        <w:rPr>
          <w:rFonts w:cs="Arial"/>
        </w:rPr>
        <w:t>relevant safety netting, including worsening care advice and referral as required.</w:t>
      </w:r>
    </w:p>
    <w:p w14:paraId="19B39688" w14:textId="646A807B" w:rsidR="00D23E64" w:rsidRPr="00AC4211" w:rsidRDefault="00D23E64" w:rsidP="00D23E64">
      <w:pPr>
        <w:numPr>
          <w:ilvl w:val="2"/>
          <w:numId w:val="8"/>
        </w:numPr>
        <w:spacing w:after="240"/>
        <w:rPr>
          <w:rFonts w:cs="Arial"/>
          <w:b/>
          <w:bCs/>
        </w:rPr>
      </w:pPr>
      <w:r w:rsidRPr="00AC4211">
        <w:rPr>
          <w:rFonts w:cs="Arial"/>
          <w:b/>
          <w:bCs/>
        </w:rPr>
        <w:t>Process:</w:t>
      </w:r>
    </w:p>
    <w:p w14:paraId="14F2EFD5" w14:textId="1A80F2B1" w:rsidR="00D23E64" w:rsidRDefault="00631562" w:rsidP="00D23E64">
      <w:pPr>
        <w:numPr>
          <w:ilvl w:val="3"/>
          <w:numId w:val="8"/>
        </w:numPr>
        <w:spacing w:after="240"/>
        <w:rPr>
          <w:rFonts w:cs="Arial"/>
        </w:rPr>
      </w:pPr>
      <w:r>
        <w:rPr>
          <w:rFonts w:cs="Arial"/>
        </w:rPr>
        <w:lastRenderedPageBreak/>
        <w:t xml:space="preserve">Following the </w:t>
      </w:r>
      <w:r w:rsidR="009E1A3D">
        <w:rPr>
          <w:rFonts w:cs="Arial"/>
        </w:rPr>
        <w:t>on-scene</w:t>
      </w:r>
      <w:r>
        <w:rPr>
          <w:rFonts w:cs="Arial"/>
        </w:rPr>
        <w:t xml:space="preserve"> </w:t>
      </w:r>
      <w:r w:rsidR="00C7663B">
        <w:rPr>
          <w:rFonts w:cs="Arial"/>
        </w:rPr>
        <w:t xml:space="preserve">assessment and interventions by the Responder, </w:t>
      </w:r>
      <w:r w:rsidR="008D7AD9">
        <w:rPr>
          <w:rFonts w:cs="Arial"/>
        </w:rPr>
        <w:t xml:space="preserve">they should request a call back from a </w:t>
      </w:r>
      <w:r w:rsidR="006C2FB4">
        <w:rPr>
          <w:rFonts w:cs="Arial"/>
        </w:rPr>
        <w:t>clinician</w:t>
      </w:r>
      <w:r w:rsidR="008D7AD9">
        <w:rPr>
          <w:rFonts w:cs="Arial"/>
        </w:rPr>
        <w:t xml:space="preserve"> via the ECAL process </w:t>
      </w:r>
      <w:r w:rsidR="00761881">
        <w:rPr>
          <w:rFonts w:cs="Arial"/>
        </w:rPr>
        <w:t>for a remote clinical consultation</w:t>
      </w:r>
      <w:r w:rsidR="005602DE">
        <w:rPr>
          <w:rFonts w:cs="Arial"/>
        </w:rPr>
        <w:t>. Unlike joint decision making, the</w:t>
      </w:r>
      <w:r w:rsidR="00761881">
        <w:rPr>
          <w:rFonts w:cs="Arial"/>
        </w:rPr>
        <w:t xml:space="preserve"> Volunteer</w:t>
      </w:r>
      <w:r w:rsidR="005602DE">
        <w:rPr>
          <w:rFonts w:cs="Arial"/>
        </w:rPr>
        <w:t xml:space="preserve"> Responder will not be making the decision around the appropriate </w:t>
      </w:r>
      <w:r w:rsidR="002055EF">
        <w:rPr>
          <w:rFonts w:cs="Arial"/>
        </w:rPr>
        <w:t xml:space="preserve">route of care for the </w:t>
      </w:r>
      <w:proofErr w:type="gramStart"/>
      <w:r w:rsidR="002055EF">
        <w:rPr>
          <w:rFonts w:cs="Arial"/>
        </w:rPr>
        <w:t>patient, but</w:t>
      </w:r>
      <w:proofErr w:type="gramEnd"/>
      <w:r w:rsidR="002055EF">
        <w:rPr>
          <w:rFonts w:cs="Arial"/>
        </w:rPr>
        <w:t xml:space="preserve"> will be sharing the details of their patient assessment and actions to augment the independent remote assessment of the patient undertaken by the </w:t>
      </w:r>
      <w:r w:rsidR="006C2FB4">
        <w:rPr>
          <w:rFonts w:cs="Arial"/>
        </w:rPr>
        <w:t>clinician</w:t>
      </w:r>
      <w:r w:rsidR="002055EF">
        <w:rPr>
          <w:rFonts w:cs="Arial"/>
        </w:rPr>
        <w:t>.</w:t>
      </w:r>
    </w:p>
    <w:p w14:paraId="567C9DAA" w14:textId="5344CF48" w:rsidR="00B41EC2" w:rsidRDefault="00B41EC2" w:rsidP="00D23E64">
      <w:pPr>
        <w:numPr>
          <w:ilvl w:val="3"/>
          <w:numId w:val="8"/>
        </w:numPr>
        <w:spacing w:after="240"/>
        <w:rPr>
          <w:rFonts w:cs="Arial"/>
        </w:rPr>
      </w:pPr>
      <w:r>
        <w:rPr>
          <w:rFonts w:cs="Arial"/>
        </w:rPr>
        <w:t xml:space="preserve">Prior to speaking to the </w:t>
      </w:r>
      <w:r w:rsidR="006C2FB4">
        <w:rPr>
          <w:rFonts w:cs="Arial"/>
        </w:rPr>
        <w:t>clinician</w:t>
      </w:r>
      <w:r>
        <w:rPr>
          <w:rFonts w:cs="Arial"/>
        </w:rPr>
        <w:t>, the Volunteer Responder should complete their full assessment and document their findings and care provided on a Patient Clinical Record (PCR).</w:t>
      </w:r>
    </w:p>
    <w:p w14:paraId="318723A6" w14:textId="3BF85E06" w:rsidR="009E1A3D" w:rsidRDefault="00BF3A55" w:rsidP="00D23E64">
      <w:pPr>
        <w:numPr>
          <w:ilvl w:val="3"/>
          <w:numId w:val="8"/>
        </w:numPr>
        <w:spacing w:after="240"/>
        <w:rPr>
          <w:rFonts w:cs="Arial"/>
        </w:rPr>
      </w:pPr>
      <w:r>
        <w:rPr>
          <w:rFonts w:cs="Arial"/>
        </w:rPr>
        <w:t xml:space="preserve">The purpose of the remote clinical consultation will be to determine an appropriate outcome for the episode of care. This may result in a secondary attendance by an appropriate SECAmb resource with a view to conveying the patient to hospital; attendance by a specialist clinician to provide additional treatment at home; </w:t>
      </w:r>
      <w:r w:rsidR="00B409B7">
        <w:rPr>
          <w:rFonts w:cs="Arial"/>
        </w:rPr>
        <w:t>or a discharge from care with appropriate follow up advice or referral</w:t>
      </w:r>
      <w:r w:rsidR="00670F10">
        <w:rPr>
          <w:rFonts w:cs="Arial"/>
        </w:rPr>
        <w:t xml:space="preserve"> via the Directory of Services (DoS)</w:t>
      </w:r>
      <w:r w:rsidR="00B409B7">
        <w:rPr>
          <w:rFonts w:cs="Arial"/>
        </w:rPr>
        <w:t>.</w:t>
      </w:r>
      <w:r w:rsidR="004E7417">
        <w:rPr>
          <w:rFonts w:cs="Arial"/>
        </w:rPr>
        <w:t xml:space="preserve"> As with any remote consultation, the </w:t>
      </w:r>
      <w:r w:rsidR="006C2FB4">
        <w:rPr>
          <w:rFonts w:cs="Arial"/>
        </w:rPr>
        <w:t>clinician must work within their scope of practice (particularly regarding discharge and referrals) and</w:t>
      </w:r>
      <w:r w:rsidR="004E7417">
        <w:rPr>
          <w:rFonts w:cs="Arial"/>
        </w:rPr>
        <w:t xml:space="preserve"> will be accountable for their decision</w:t>
      </w:r>
      <w:r w:rsidR="006C2FB4">
        <w:rPr>
          <w:rFonts w:cs="Arial"/>
        </w:rPr>
        <w:t>.</w:t>
      </w:r>
      <w:r w:rsidR="004E7417">
        <w:rPr>
          <w:rFonts w:cs="Arial"/>
        </w:rPr>
        <w:t xml:space="preserve"> </w:t>
      </w:r>
      <w:r w:rsidR="006C2FB4">
        <w:rPr>
          <w:rFonts w:cs="Arial"/>
        </w:rPr>
        <w:t>T</w:t>
      </w:r>
      <w:r w:rsidR="004E7417">
        <w:rPr>
          <w:rFonts w:cs="Arial"/>
        </w:rPr>
        <w:t>he Trust will provide the usual support for this as a fully authorised action with the governed framework.</w:t>
      </w:r>
    </w:p>
    <w:p w14:paraId="5326AAEB" w14:textId="6A5DAF01" w:rsidR="003D0C1F" w:rsidRDefault="0087675D" w:rsidP="00D23E64">
      <w:pPr>
        <w:numPr>
          <w:ilvl w:val="3"/>
          <w:numId w:val="8"/>
        </w:numPr>
        <w:spacing w:after="240"/>
        <w:rPr>
          <w:rFonts w:cs="Arial"/>
        </w:rPr>
      </w:pPr>
      <w:r w:rsidRPr="0087675D">
        <w:rPr>
          <w:rFonts w:cs="Arial"/>
        </w:rPr>
        <w:t>The remote consultation must be undertaken as a ‘first party’ consultation unless the patient's condition precludes this - in other words the clinician should speak to the patient directly, ensuring they remain a part of the decision-making and following the principles of ’no decision about me, without me’. The role of the Volunteer Responder is to support and facilitate this, and where the Responder provides additional information to supplement the clinical consultation this must be objective and documented accordingly</w:t>
      </w:r>
      <w:r w:rsidR="003D0C1F">
        <w:rPr>
          <w:rFonts w:cs="Arial"/>
        </w:rPr>
        <w:t>.</w:t>
      </w:r>
    </w:p>
    <w:p w14:paraId="005195F0" w14:textId="48128E8B" w:rsidR="00B41EC2" w:rsidRDefault="00B41EC2" w:rsidP="00D23E64">
      <w:pPr>
        <w:numPr>
          <w:ilvl w:val="3"/>
          <w:numId w:val="8"/>
        </w:numPr>
        <w:spacing w:after="240"/>
        <w:rPr>
          <w:rFonts w:cs="Arial"/>
        </w:rPr>
      </w:pPr>
      <w:r>
        <w:rPr>
          <w:rFonts w:cs="Arial"/>
        </w:rPr>
        <w:t xml:space="preserve">The Volunteer Responder should add to their PCR the </w:t>
      </w:r>
      <w:r w:rsidR="00B1200B">
        <w:rPr>
          <w:rFonts w:cs="Arial"/>
        </w:rPr>
        <w:t xml:space="preserve">outcome of any discussion with the </w:t>
      </w:r>
      <w:proofErr w:type="gramStart"/>
      <w:r w:rsidR="006C2FB4">
        <w:rPr>
          <w:rFonts w:cs="Arial"/>
        </w:rPr>
        <w:t>clinician</w:t>
      </w:r>
      <w:r w:rsidR="00B1200B">
        <w:rPr>
          <w:rFonts w:cs="Arial"/>
        </w:rPr>
        <w:t>, and</w:t>
      </w:r>
      <w:proofErr w:type="gramEnd"/>
      <w:r w:rsidR="00B1200B">
        <w:rPr>
          <w:rFonts w:cs="Arial"/>
        </w:rPr>
        <w:t xml:space="preserve"> ensure that any written safety net advice requested and</w:t>
      </w:r>
      <w:r w:rsidR="009A7AE2">
        <w:rPr>
          <w:rFonts w:cs="Arial"/>
        </w:rPr>
        <w:t>/or</w:t>
      </w:r>
      <w:r w:rsidR="00B1200B">
        <w:rPr>
          <w:rFonts w:cs="Arial"/>
        </w:rPr>
        <w:t xml:space="preserve"> provided by the </w:t>
      </w:r>
      <w:r w:rsidR="006C2FB4">
        <w:rPr>
          <w:rFonts w:cs="Arial"/>
        </w:rPr>
        <w:t>clinician</w:t>
      </w:r>
      <w:r w:rsidR="00B1200B">
        <w:rPr>
          <w:rFonts w:cs="Arial"/>
        </w:rPr>
        <w:t xml:space="preserve"> is included.</w:t>
      </w:r>
    </w:p>
    <w:p w14:paraId="36FBC099" w14:textId="51E2675A" w:rsidR="00B1200B" w:rsidRDefault="00B1200B" w:rsidP="00D23E64">
      <w:pPr>
        <w:numPr>
          <w:ilvl w:val="3"/>
          <w:numId w:val="8"/>
        </w:numPr>
        <w:spacing w:after="240"/>
        <w:rPr>
          <w:rFonts w:cs="Arial"/>
        </w:rPr>
      </w:pPr>
      <w:r>
        <w:rPr>
          <w:rFonts w:cs="Arial"/>
        </w:rPr>
        <w:t xml:space="preserve">The </w:t>
      </w:r>
      <w:r w:rsidR="006C2FB4">
        <w:rPr>
          <w:rFonts w:cs="Arial"/>
        </w:rPr>
        <w:t>clinician</w:t>
      </w:r>
      <w:r>
        <w:rPr>
          <w:rFonts w:cs="Arial"/>
        </w:rPr>
        <w:t xml:space="preserve"> will remain responsible for clerking their assessment, clinical decisions, and outcome using </w:t>
      </w:r>
      <w:r w:rsidR="00A72B90">
        <w:rPr>
          <w:rFonts w:cs="Arial"/>
        </w:rPr>
        <w:t>the</w:t>
      </w:r>
      <w:r w:rsidR="00A80C78">
        <w:rPr>
          <w:rFonts w:cs="Arial"/>
        </w:rPr>
        <w:t xml:space="preserve"> appropriate </w:t>
      </w:r>
      <w:r>
        <w:rPr>
          <w:rFonts w:cs="Arial"/>
        </w:rPr>
        <w:t>system</w:t>
      </w:r>
      <w:r w:rsidR="00A80C78">
        <w:rPr>
          <w:rFonts w:cs="Arial"/>
        </w:rPr>
        <w:t xml:space="preserve"> such as</w:t>
      </w:r>
      <w:r w:rsidR="00A72B90">
        <w:rPr>
          <w:rFonts w:cs="Arial"/>
        </w:rPr>
        <w:t xml:space="preserve"> Pathways Clinical Consultation Service</w:t>
      </w:r>
      <w:r>
        <w:rPr>
          <w:rFonts w:cs="Arial"/>
        </w:rPr>
        <w:t xml:space="preserve"> </w:t>
      </w:r>
      <w:r w:rsidR="006C2FB4">
        <w:rPr>
          <w:rFonts w:cs="Arial"/>
        </w:rPr>
        <w:t>(P</w:t>
      </w:r>
      <w:r w:rsidR="00A72B90">
        <w:rPr>
          <w:rFonts w:cs="Arial"/>
        </w:rPr>
        <w:t>a</w:t>
      </w:r>
      <w:r w:rsidR="006C2FB4">
        <w:rPr>
          <w:rFonts w:cs="Arial"/>
        </w:rPr>
        <w:t>CCS)</w:t>
      </w:r>
      <w:r>
        <w:rPr>
          <w:rFonts w:cs="Arial"/>
        </w:rPr>
        <w:t xml:space="preserve">. </w:t>
      </w:r>
    </w:p>
    <w:p w14:paraId="6DD32CAD" w14:textId="343C95FE" w:rsidR="00CA7B08" w:rsidRDefault="00CA7B08" w:rsidP="00D23E64">
      <w:pPr>
        <w:numPr>
          <w:ilvl w:val="3"/>
          <w:numId w:val="8"/>
        </w:numPr>
        <w:spacing w:after="240"/>
        <w:rPr>
          <w:rFonts w:cs="Arial"/>
        </w:rPr>
      </w:pPr>
      <w:r>
        <w:rPr>
          <w:rFonts w:cs="Arial"/>
        </w:rPr>
        <w:t xml:space="preserve">Where the </w:t>
      </w:r>
      <w:r w:rsidR="00B15B13">
        <w:rPr>
          <w:rFonts w:cs="Arial"/>
        </w:rPr>
        <w:t>clinician</w:t>
      </w:r>
      <w:r>
        <w:rPr>
          <w:rFonts w:cs="Arial"/>
        </w:rPr>
        <w:t xml:space="preserve"> determines that attendance by another SECAmb resource is appropriate, </w:t>
      </w:r>
      <w:r w:rsidR="001F0CE4">
        <w:rPr>
          <w:rFonts w:cs="Arial"/>
        </w:rPr>
        <w:t xml:space="preserve">they should determine whether the patient’s condition is such that the Volunteer Responder is required to stay on scene until that resource arrives – where this is the case an emergency response backup request must be </w:t>
      </w:r>
      <w:r w:rsidR="00FF6EE6">
        <w:rPr>
          <w:rFonts w:cs="Arial"/>
        </w:rPr>
        <w:t>provided. In all other cases, the Volunteer Responder should be released from scene pending arrival of the backup vehicle (interrupted model of care / delayed conveyance).</w:t>
      </w:r>
    </w:p>
    <w:p w14:paraId="2FDB66FC" w14:textId="77777777" w:rsidR="00D80732" w:rsidRDefault="000D35CF" w:rsidP="00383F94">
      <w:pPr>
        <w:numPr>
          <w:ilvl w:val="3"/>
          <w:numId w:val="8"/>
        </w:numPr>
        <w:spacing w:after="240"/>
        <w:rPr>
          <w:rFonts w:cs="Arial"/>
        </w:rPr>
      </w:pPr>
      <w:r>
        <w:rPr>
          <w:rFonts w:cs="Arial"/>
        </w:rPr>
        <w:t>Where a secondary SECAmb resource arrives on scene, they will assume responsibility for the management of th</w:t>
      </w:r>
      <w:r w:rsidR="00D80732">
        <w:rPr>
          <w:rFonts w:cs="Arial"/>
        </w:rPr>
        <w:t xml:space="preserve">e patient, including following usual </w:t>
      </w:r>
      <w:r w:rsidR="00D80732">
        <w:rPr>
          <w:rFonts w:cs="Arial"/>
        </w:rPr>
        <w:lastRenderedPageBreak/>
        <w:t>Trust processes relating to conveyance and discharge decisions, and facilitating any necessary referrals</w:t>
      </w:r>
      <w:r w:rsidR="003A7D19" w:rsidRPr="0043622D">
        <w:rPr>
          <w:rFonts w:cs="Arial"/>
        </w:rPr>
        <w:t>.</w:t>
      </w:r>
    </w:p>
    <w:p w14:paraId="46351934" w14:textId="77777777" w:rsidR="00B03BD3" w:rsidRPr="00F23FAB" w:rsidRDefault="005473E0" w:rsidP="00492147">
      <w:pPr>
        <w:keepNext/>
        <w:numPr>
          <w:ilvl w:val="0"/>
          <w:numId w:val="2"/>
        </w:numPr>
        <w:tabs>
          <w:tab w:val="left" w:pos="1162"/>
        </w:tabs>
        <w:spacing w:before="360" w:after="240"/>
        <w:outlineLvl w:val="0"/>
        <w:rPr>
          <w:rFonts w:cs="Arial"/>
          <w:b/>
          <w:bCs/>
          <w:sz w:val="28"/>
          <w:szCs w:val="28"/>
        </w:rPr>
      </w:pPr>
      <w:bookmarkStart w:id="14" w:name="_Toc45620363"/>
      <w:r>
        <w:rPr>
          <w:rFonts w:cs="Arial"/>
          <w:b/>
          <w:bCs/>
          <w:sz w:val="28"/>
          <w:szCs w:val="28"/>
        </w:rPr>
        <w:t>Education and training</w:t>
      </w:r>
      <w:bookmarkEnd w:id="14"/>
    </w:p>
    <w:p w14:paraId="7E14BF0C" w14:textId="6197835F" w:rsidR="00B03BD3" w:rsidRDefault="00390C86" w:rsidP="00B03BD3">
      <w:pPr>
        <w:numPr>
          <w:ilvl w:val="1"/>
          <w:numId w:val="8"/>
        </w:numPr>
        <w:spacing w:after="240"/>
        <w:rPr>
          <w:rFonts w:cs="Arial"/>
        </w:rPr>
      </w:pPr>
      <w:r>
        <w:rPr>
          <w:rFonts w:cs="Arial"/>
        </w:rPr>
        <w:t>All Volunteer Responders working to this polic</w:t>
      </w:r>
      <w:r w:rsidR="00B504D4">
        <w:rPr>
          <w:rFonts w:cs="Arial"/>
        </w:rPr>
        <w:t>y</w:t>
      </w:r>
      <w:r>
        <w:rPr>
          <w:rFonts w:cs="Arial"/>
        </w:rPr>
        <w:t xml:space="preserve"> and procedure must have completed a Trust recognised qualification </w:t>
      </w:r>
      <w:r w:rsidR="00B504D4">
        <w:rPr>
          <w:rFonts w:cs="Arial"/>
        </w:rPr>
        <w:t>(currently First Responder on Scene) or equivalent qualification.</w:t>
      </w:r>
    </w:p>
    <w:p w14:paraId="0E48D66B" w14:textId="5ECBCA68" w:rsidR="00B504D4" w:rsidRDefault="00B504D4" w:rsidP="00B03BD3">
      <w:pPr>
        <w:numPr>
          <w:ilvl w:val="1"/>
          <w:numId w:val="8"/>
        </w:numPr>
        <w:spacing w:after="240"/>
        <w:rPr>
          <w:rFonts w:cs="Arial"/>
        </w:rPr>
      </w:pPr>
      <w:r>
        <w:rPr>
          <w:rFonts w:cs="Arial"/>
        </w:rPr>
        <w:t xml:space="preserve">All Volunteer Responders working to this policy and procedure must have completed </w:t>
      </w:r>
      <w:r w:rsidR="00E85A52">
        <w:rPr>
          <w:rFonts w:cs="Arial"/>
        </w:rPr>
        <w:t xml:space="preserve">Trust recognised </w:t>
      </w:r>
      <w:r>
        <w:rPr>
          <w:rFonts w:cs="Arial"/>
        </w:rPr>
        <w:t>practical m</w:t>
      </w:r>
      <w:r w:rsidR="00E85A52">
        <w:rPr>
          <w:rFonts w:cs="Arial"/>
        </w:rPr>
        <w:t xml:space="preserve">anual and patient handling </w:t>
      </w:r>
      <w:proofErr w:type="gramStart"/>
      <w:r w:rsidR="00E85A52">
        <w:rPr>
          <w:rFonts w:cs="Arial"/>
        </w:rPr>
        <w:t>training, and</w:t>
      </w:r>
      <w:proofErr w:type="gramEnd"/>
      <w:r w:rsidR="00E85A52">
        <w:rPr>
          <w:rFonts w:cs="Arial"/>
        </w:rPr>
        <w:t xml:space="preserve"> be compliant with the Core Skills Training Framework (CSTF) in relation to moving and handling.</w:t>
      </w:r>
    </w:p>
    <w:p w14:paraId="4977F1CB" w14:textId="71F73F5D" w:rsidR="00B73311" w:rsidRDefault="00F306F5" w:rsidP="00B03BD3">
      <w:pPr>
        <w:numPr>
          <w:ilvl w:val="1"/>
          <w:numId w:val="8"/>
        </w:numPr>
        <w:spacing w:after="240"/>
        <w:rPr>
          <w:rFonts w:cs="Arial"/>
        </w:rPr>
      </w:pPr>
      <w:r>
        <w:rPr>
          <w:rFonts w:cs="Arial"/>
        </w:rPr>
        <w:t xml:space="preserve">Additional Continuing Professional Development (CPD) training will be available for Volunteer Responders through the usual Trust mechanisms, including the Clinical Education department, Community Resilience team, and </w:t>
      </w:r>
      <w:r w:rsidR="008300C9">
        <w:rPr>
          <w:rFonts w:cs="Arial"/>
        </w:rPr>
        <w:t>local Operating Unit provisions.</w:t>
      </w:r>
    </w:p>
    <w:p w14:paraId="79CB3DA3" w14:textId="61680DA9" w:rsidR="008300C9" w:rsidRPr="00B03BD3" w:rsidRDefault="00A63917" w:rsidP="00B03BD3">
      <w:pPr>
        <w:numPr>
          <w:ilvl w:val="1"/>
          <w:numId w:val="8"/>
        </w:numPr>
        <w:spacing w:after="240"/>
        <w:rPr>
          <w:rFonts w:cs="Arial"/>
        </w:rPr>
      </w:pPr>
      <w:r>
        <w:rPr>
          <w:rFonts w:cs="Arial"/>
        </w:rPr>
        <w:t>Where Volunteer Responders do not feel confident or competent to apply the requirements of this policy and procedure, they should highlight the</w:t>
      </w:r>
      <w:r w:rsidR="001F663C">
        <w:rPr>
          <w:rFonts w:cs="Arial"/>
        </w:rPr>
        <w:t>i</w:t>
      </w:r>
      <w:r>
        <w:rPr>
          <w:rFonts w:cs="Arial"/>
        </w:rPr>
        <w:t xml:space="preserve">r concerns </w:t>
      </w:r>
      <w:r w:rsidR="001F663C">
        <w:rPr>
          <w:rFonts w:cs="Arial"/>
        </w:rPr>
        <w:t xml:space="preserve">to their Team Leader </w:t>
      </w:r>
      <w:proofErr w:type="gramStart"/>
      <w:r w:rsidR="001F663C">
        <w:rPr>
          <w:rFonts w:cs="Arial"/>
        </w:rPr>
        <w:t>in order to</w:t>
      </w:r>
      <w:proofErr w:type="gramEnd"/>
      <w:r w:rsidR="001F663C">
        <w:rPr>
          <w:rFonts w:cs="Arial"/>
        </w:rPr>
        <w:t xml:space="preserve"> receive additional </w:t>
      </w:r>
      <w:proofErr w:type="gramStart"/>
      <w:r w:rsidR="001F663C">
        <w:rPr>
          <w:rFonts w:cs="Arial"/>
        </w:rPr>
        <w:t>support, and</w:t>
      </w:r>
      <w:proofErr w:type="gramEnd"/>
      <w:r w:rsidR="001F663C">
        <w:rPr>
          <w:rFonts w:cs="Arial"/>
        </w:rPr>
        <w:t xml:space="preserve"> should not accept </w:t>
      </w:r>
      <w:r w:rsidR="00F8609D">
        <w:rPr>
          <w:rFonts w:cs="Arial"/>
        </w:rPr>
        <w:t>any falls calls until this concern has been resolved.</w:t>
      </w:r>
    </w:p>
    <w:p w14:paraId="0B207EC5" w14:textId="77777777" w:rsidR="00B03BD3" w:rsidRPr="00F23FAB" w:rsidRDefault="00B03BD3" w:rsidP="00B03BD3">
      <w:pPr>
        <w:numPr>
          <w:ilvl w:val="0"/>
          <w:numId w:val="2"/>
        </w:numPr>
        <w:tabs>
          <w:tab w:val="left" w:pos="1162"/>
        </w:tabs>
        <w:spacing w:before="360" w:after="240"/>
        <w:outlineLvl w:val="0"/>
        <w:rPr>
          <w:rFonts w:cs="Arial"/>
          <w:b/>
          <w:bCs/>
          <w:sz w:val="28"/>
          <w:szCs w:val="28"/>
        </w:rPr>
      </w:pPr>
      <w:bookmarkStart w:id="15" w:name="_Toc210802636"/>
      <w:bookmarkStart w:id="16" w:name="_Toc45620365"/>
      <w:r w:rsidRPr="00F23FAB">
        <w:rPr>
          <w:rFonts w:cs="Arial"/>
          <w:b/>
          <w:bCs/>
          <w:sz w:val="28"/>
          <w:szCs w:val="28"/>
        </w:rPr>
        <w:t>Audit and Review</w:t>
      </w:r>
      <w:bookmarkEnd w:id="15"/>
      <w:r w:rsidR="00412D32">
        <w:rPr>
          <w:rFonts w:cs="Arial"/>
          <w:b/>
          <w:bCs/>
          <w:sz w:val="28"/>
          <w:szCs w:val="28"/>
        </w:rPr>
        <w:t xml:space="preserve"> (evaluating effectiveness)</w:t>
      </w:r>
      <w:bookmarkEnd w:id="16"/>
    </w:p>
    <w:p w14:paraId="77533276" w14:textId="3909A637" w:rsidR="00C56680" w:rsidRPr="006E0708" w:rsidRDefault="00C56680" w:rsidP="00B03BD3">
      <w:pPr>
        <w:numPr>
          <w:ilvl w:val="1"/>
          <w:numId w:val="8"/>
        </w:numPr>
        <w:tabs>
          <w:tab w:val="left" w:pos="1162"/>
        </w:tabs>
        <w:spacing w:after="240"/>
        <w:rPr>
          <w:rFonts w:cs="Arial"/>
          <w:bCs/>
        </w:rPr>
      </w:pPr>
      <w:r w:rsidRPr="006E0708">
        <w:rPr>
          <w:rFonts w:cs="Arial"/>
          <w:bCs/>
        </w:rPr>
        <w:t xml:space="preserve">All </w:t>
      </w:r>
      <w:r w:rsidR="00A021B8" w:rsidRPr="006E0708">
        <w:rPr>
          <w:rFonts w:cs="Arial"/>
          <w:bCs/>
        </w:rPr>
        <w:t>policies</w:t>
      </w:r>
      <w:r w:rsidRPr="006E0708">
        <w:rPr>
          <w:rFonts w:cs="Arial"/>
          <w:bCs/>
        </w:rPr>
        <w:t xml:space="preserve"> </w:t>
      </w:r>
      <w:r w:rsidR="00514C36" w:rsidRPr="006E0708">
        <w:rPr>
          <w:rFonts w:cs="Arial"/>
          <w:bCs/>
        </w:rPr>
        <w:t xml:space="preserve">and procedures </w:t>
      </w:r>
      <w:r w:rsidRPr="006E0708">
        <w:rPr>
          <w:rFonts w:cs="Arial"/>
          <w:bCs/>
        </w:rPr>
        <w:t xml:space="preserve">have their effectiveness audited by the </w:t>
      </w:r>
      <w:r w:rsidR="00A021B8" w:rsidRPr="006E0708">
        <w:rPr>
          <w:rFonts w:cs="Arial"/>
          <w:bCs/>
        </w:rPr>
        <w:t xml:space="preserve">responsible Management Group at regular intervals, and initially six months after a new policy </w:t>
      </w:r>
      <w:r w:rsidR="00514C36" w:rsidRPr="006E0708">
        <w:rPr>
          <w:rFonts w:cs="Arial"/>
          <w:bCs/>
        </w:rPr>
        <w:t xml:space="preserve">and procedure </w:t>
      </w:r>
      <w:r w:rsidR="00A021B8" w:rsidRPr="006E0708">
        <w:rPr>
          <w:rFonts w:cs="Arial"/>
          <w:bCs/>
        </w:rPr>
        <w:t>is approved and disseminated.</w:t>
      </w:r>
    </w:p>
    <w:p w14:paraId="4DC3CFC7" w14:textId="77777777" w:rsidR="00A021B8" w:rsidRPr="006E0708" w:rsidRDefault="00A021B8" w:rsidP="00B03BD3">
      <w:pPr>
        <w:numPr>
          <w:ilvl w:val="1"/>
          <w:numId w:val="8"/>
        </w:numPr>
        <w:tabs>
          <w:tab w:val="left" w:pos="1162"/>
        </w:tabs>
        <w:spacing w:after="240"/>
        <w:rPr>
          <w:rFonts w:cs="Arial"/>
          <w:bCs/>
        </w:rPr>
      </w:pPr>
      <w:r w:rsidRPr="006E0708">
        <w:rPr>
          <w:rFonts w:cs="Arial"/>
          <w:bCs/>
        </w:rPr>
        <w:t>Effectiveness will be reviewed using the tools set out in the Trust’s Policy and Procedure for the Development and Management of Trust Policies and Procedures (also known as the Policy on Policies).</w:t>
      </w:r>
    </w:p>
    <w:p w14:paraId="6C06E952" w14:textId="77777777" w:rsidR="00B03BD3" w:rsidRPr="006E0708" w:rsidRDefault="00C56680" w:rsidP="00B03BD3">
      <w:pPr>
        <w:numPr>
          <w:ilvl w:val="1"/>
          <w:numId w:val="8"/>
        </w:numPr>
        <w:tabs>
          <w:tab w:val="left" w:pos="1162"/>
        </w:tabs>
        <w:spacing w:after="240"/>
        <w:rPr>
          <w:rFonts w:cs="Arial"/>
          <w:bCs/>
        </w:rPr>
      </w:pPr>
      <w:r w:rsidRPr="006E0708">
        <w:rPr>
          <w:rFonts w:cs="Arial"/>
          <w:bCs/>
        </w:rPr>
        <w:t>This</w:t>
      </w:r>
      <w:r w:rsidR="00B03BD3" w:rsidRPr="006E0708">
        <w:rPr>
          <w:rFonts w:cs="Arial"/>
          <w:bCs/>
        </w:rPr>
        <w:t xml:space="preserve"> document will be reviewed </w:t>
      </w:r>
      <w:r w:rsidR="00A021B8" w:rsidRPr="006E0708">
        <w:rPr>
          <w:rFonts w:cs="Arial"/>
          <w:bCs/>
        </w:rPr>
        <w:t xml:space="preserve">in its entirety </w:t>
      </w:r>
      <w:r w:rsidR="00B03BD3" w:rsidRPr="006E0708">
        <w:rPr>
          <w:rFonts w:cs="Arial"/>
          <w:bCs/>
        </w:rPr>
        <w:t>every three years or sooner if new legislation, codes of practice or na</w:t>
      </w:r>
      <w:r w:rsidR="00412D32" w:rsidRPr="006E0708">
        <w:rPr>
          <w:rFonts w:cs="Arial"/>
          <w:bCs/>
        </w:rPr>
        <w:t>tional standards are introduced, or if feedback from employees indicates that the policy is not working effectively.</w:t>
      </w:r>
    </w:p>
    <w:p w14:paraId="6031DB6F" w14:textId="423A672B" w:rsidR="00A021B8" w:rsidRDefault="00A021B8" w:rsidP="00B03BD3">
      <w:pPr>
        <w:numPr>
          <w:ilvl w:val="1"/>
          <w:numId w:val="8"/>
        </w:numPr>
        <w:tabs>
          <w:tab w:val="left" w:pos="1162"/>
        </w:tabs>
        <w:spacing w:after="240"/>
        <w:rPr>
          <w:rFonts w:cs="Arial"/>
          <w:bCs/>
        </w:rPr>
      </w:pPr>
      <w:r w:rsidRPr="006E0708">
        <w:rPr>
          <w:rFonts w:cs="Arial"/>
          <w:bCs/>
        </w:rPr>
        <w:t xml:space="preserve">All changes made to this policy </w:t>
      </w:r>
      <w:r w:rsidR="00514C36" w:rsidRPr="006E0708">
        <w:rPr>
          <w:rFonts w:cs="Arial"/>
          <w:bCs/>
        </w:rPr>
        <w:t xml:space="preserve">and procedure </w:t>
      </w:r>
      <w:r w:rsidRPr="006E0708">
        <w:rPr>
          <w:rFonts w:cs="Arial"/>
          <w:bCs/>
        </w:rPr>
        <w:t>will go through the governance route for development and approval as set out in the</w:t>
      </w:r>
      <w:r w:rsidR="005F72FB" w:rsidRPr="006E0708">
        <w:rPr>
          <w:rFonts w:cs="Arial"/>
          <w:bCs/>
        </w:rPr>
        <w:t xml:space="preserve"> Policy on Policies</w:t>
      </w:r>
      <w:r w:rsidRPr="006E0708">
        <w:rPr>
          <w:rFonts w:cs="Arial"/>
          <w:bCs/>
        </w:rPr>
        <w:t>.</w:t>
      </w:r>
    </w:p>
    <w:p w14:paraId="457BFACA" w14:textId="7DB9B033" w:rsidR="006E0708" w:rsidRDefault="005D53C3" w:rsidP="00B03BD3">
      <w:pPr>
        <w:numPr>
          <w:ilvl w:val="1"/>
          <w:numId w:val="8"/>
        </w:numPr>
        <w:tabs>
          <w:tab w:val="left" w:pos="1162"/>
        </w:tabs>
        <w:spacing w:after="240"/>
        <w:rPr>
          <w:rFonts w:cs="Arial"/>
          <w:bCs/>
        </w:rPr>
      </w:pPr>
      <w:r>
        <w:rPr>
          <w:rFonts w:cs="Arial"/>
          <w:bCs/>
        </w:rPr>
        <w:t>Any adverse events relating to the contents of this policy and procedure must be reported via Datix</w:t>
      </w:r>
      <w:r w:rsidR="008F6D2C">
        <w:rPr>
          <w:rFonts w:cs="Arial"/>
          <w:bCs/>
        </w:rPr>
        <w:t>.</w:t>
      </w:r>
    </w:p>
    <w:p w14:paraId="1EFDE438" w14:textId="35252ABB" w:rsidR="008F6D2C" w:rsidRPr="006E0708" w:rsidRDefault="008F6D2C" w:rsidP="00B03BD3">
      <w:pPr>
        <w:numPr>
          <w:ilvl w:val="1"/>
          <w:numId w:val="8"/>
        </w:numPr>
        <w:tabs>
          <w:tab w:val="left" w:pos="1162"/>
        </w:tabs>
        <w:spacing w:after="240"/>
        <w:rPr>
          <w:rFonts w:cs="Arial"/>
          <w:bCs/>
        </w:rPr>
      </w:pPr>
      <w:r>
        <w:rPr>
          <w:rFonts w:cs="Arial"/>
          <w:bCs/>
        </w:rPr>
        <w:t>Any incidents deemed serious or significant should be escalated to the duty Tactical Commander at the time and consider</w:t>
      </w:r>
      <w:r w:rsidR="00B624DE">
        <w:rPr>
          <w:rFonts w:cs="Arial"/>
          <w:bCs/>
        </w:rPr>
        <w:t>ation given to a discussion with the Tactical Medical Advisor on call.</w:t>
      </w:r>
    </w:p>
    <w:p w14:paraId="73BC19D9" w14:textId="77777777" w:rsidR="00B03BD3" w:rsidRPr="00B03BD3" w:rsidRDefault="00B03BD3" w:rsidP="00B03BD3">
      <w:pPr>
        <w:numPr>
          <w:ilvl w:val="0"/>
          <w:numId w:val="2"/>
        </w:numPr>
        <w:tabs>
          <w:tab w:val="left" w:pos="1162"/>
        </w:tabs>
        <w:spacing w:before="360" w:after="240"/>
        <w:outlineLvl w:val="0"/>
        <w:rPr>
          <w:rFonts w:cs="Arial"/>
          <w:b/>
          <w:bCs/>
          <w:sz w:val="28"/>
          <w:szCs w:val="28"/>
        </w:rPr>
      </w:pPr>
      <w:bookmarkStart w:id="17" w:name="_Toc269875801"/>
      <w:bookmarkStart w:id="18" w:name="_Toc269875993"/>
      <w:bookmarkStart w:id="19" w:name="_Toc269876133"/>
      <w:bookmarkStart w:id="20" w:name="_Toc269876178"/>
      <w:bookmarkStart w:id="21" w:name="_Toc270316525"/>
      <w:bookmarkStart w:id="22" w:name="_Toc270316570"/>
      <w:bookmarkStart w:id="23" w:name="_Toc270316768"/>
      <w:bookmarkStart w:id="24" w:name="_Toc270316799"/>
      <w:bookmarkStart w:id="25" w:name="_Toc270316830"/>
      <w:bookmarkStart w:id="26" w:name="_Toc274661892"/>
      <w:bookmarkStart w:id="27" w:name="_Toc45620366"/>
      <w:bookmarkEnd w:id="17"/>
      <w:bookmarkEnd w:id="18"/>
      <w:bookmarkEnd w:id="19"/>
      <w:bookmarkEnd w:id="20"/>
      <w:bookmarkEnd w:id="21"/>
      <w:bookmarkEnd w:id="22"/>
      <w:bookmarkEnd w:id="23"/>
      <w:bookmarkEnd w:id="24"/>
      <w:bookmarkEnd w:id="25"/>
      <w:bookmarkEnd w:id="26"/>
      <w:r w:rsidRPr="00B03BD3">
        <w:rPr>
          <w:rFonts w:cs="Arial"/>
          <w:b/>
          <w:bCs/>
          <w:sz w:val="28"/>
          <w:szCs w:val="28"/>
        </w:rPr>
        <w:lastRenderedPageBreak/>
        <w:t xml:space="preserve">Associated </w:t>
      </w:r>
      <w:r w:rsidR="00B94C1F">
        <w:rPr>
          <w:rFonts w:cs="Arial"/>
          <w:b/>
          <w:bCs/>
          <w:sz w:val="28"/>
          <w:szCs w:val="28"/>
        </w:rPr>
        <w:t xml:space="preserve">Trust </w:t>
      </w:r>
      <w:r w:rsidRPr="00B03BD3">
        <w:rPr>
          <w:rFonts w:cs="Arial"/>
          <w:b/>
          <w:bCs/>
          <w:sz w:val="28"/>
          <w:szCs w:val="28"/>
        </w:rPr>
        <w:t>Documentation</w:t>
      </w:r>
      <w:bookmarkEnd w:id="27"/>
    </w:p>
    <w:p w14:paraId="29BEB7F5" w14:textId="7B8CEF1A" w:rsidR="003412CE" w:rsidRDefault="003412CE" w:rsidP="00B03BD3">
      <w:pPr>
        <w:numPr>
          <w:ilvl w:val="1"/>
          <w:numId w:val="8"/>
        </w:numPr>
        <w:tabs>
          <w:tab w:val="left" w:pos="1162"/>
        </w:tabs>
        <w:spacing w:after="240"/>
        <w:rPr>
          <w:rFonts w:cs="Arial"/>
        </w:rPr>
      </w:pPr>
      <w:r>
        <w:rPr>
          <w:rFonts w:cs="Arial"/>
        </w:rPr>
        <w:t>Community First Responder Policy</w:t>
      </w:r>
      <w:r w:rsidR="00A364BA">
        <w:rPr>
          <w:rFonts w:cs="Arial"/>
        </w:rPr>
        <w:t>.</w:t>
      </w:r>
    </w:p>
    <w:p w14:paraId="728A98D6" w14:textId="164D2CDC" w:rsidR="000F27C6" w:rsidRDefault="000F27C6" w:rsidP="00B03BD3">
      <w:pPr>
        <w:numPr>
          <w:ilvl w:val="1"/>
          <w:numId w:val="8"/>
        </w:numPr>
        <w:tabs>
          <w:tab w:val="left" w:pos="1162"/>
        </w:tabs>
        <w:spacing w:after="240"/>
        <w:rPr>
          <w:rFonts w:cs="Arial"/>
        </w:rPr>
      </w:pPr>
      <w:r>
        <w:rPr>
          <w:rFonts w:cs="Arial"/>
        </w:rPr>
        <w:t>Discharge Procedure.</w:t>
      </w:r>
    </w:p>
    <w:p w14:paraId="3EAB513F" w14:textId="21208A2B" w:rsidR="00452960" w:rsidRDefault="00452960" w:rsidP="00B03BD3">
      <w:pPr>
        <w:numPr>
          <w:ilvl w:val="1"/>
          <w:numId w:val="8"/>
        </w:numPr>
        <w:tabs>
          <w:tab w:val="left" w:pos="1162"/>
        </w:tabs>
        <w:spacing w:after="240"/>
        <w:rPr>
          <w:rFonts w:cs="Arial"/>
        </w:rPr>
      </w:pPr>
      <w:r>
        <w:rPr>
          <w:rFonts w:cs="Arial"/>
        </w:rPr>
        <w:t>Dispatch Standard Operating Procedure.</w:t>
      </w:r>
    </w:p>
    <w:p w14:paraId="50B511CF" w14:textId="24E7AF55" w:rsidR="00A364BA" w:rsidRDefault="00A364BA" w:rsidP="00B03BD3">
      <w:pPr>
        <w:numPr>
          <w:ilvl w:val="1"/>
          <w:numId w:val="8"/>
        </w:numPr>
        <w:tabs>
          <w:tab w:val="left" w:pos="1162"/>
        </w:tabs>
        <w:spacing w:after="240"/>
        <w:rPr>
          <w:rFonts w:cs="Arial"/>
        </w:rPr>
      </w:pPr>
      <w:r>
        <w:rPr>
          <w:rFonts w:cs="Arial"/>
        </w:rPr>
        <w:t>Moving and Handling Policy and Procedure.</w:t>
      </w:r>
    </w:p>
    <w:p w14:paraId="0E86E016" w14:textId="3FB05481" w:rsidR="00A57297" w:rsidRDefault="00A57297" w:rsidP="00B03BD3">
      <w:pPr>
        <w:numPr>
          <w:ilvl w:val="1"/>
          <w:numId w:val="8"/>
        </w:numPr>
        <w:tabs>
          <w:tab w:val="left" w:pos="1162"/>
        </w:tabs>
        <w:spacing w:after="240"/>
        <w:rPr>
          <w:rFonts w:cs="Arial"/>
        </w:rPr>
      </w:pPr>
      <w:r>
        <w:rPr>
          <w:rFonts w:cs="Arial"/>
        </w:rPr>
        <w:t>Referral, Discharge and Conveyance Policy.</w:t>
      </w:r>
    </w:p>
    <w:p w14:paraId="1681A7D1" w14:textId="6A4B07EB" w:rsidR="00A57297" w:rsidRDefault="00A57297" w:rsidP="00B03BD3">
      <w:pPr>
        <w:numPr>
          <w:ilvl w:val="1"/>
          <w:numId w:val="8"/>
        </w:numPr>
        <w:tabs>
          <w:tab w:val="left" w:pos="1162"/>
        </w:tabs>
        <w:spacing w:after="240"/>
        <w:rPr>
          <w:rFonts w:cs="Arial"/>
        </w:rPr>
      </w:pPr>
      <w:r>
        <w:rPr>
          <w:rFonts w:cs="Arial"/>
        </w:rPr>
        <w:t>Referrals Procedure.</w:t>
      </w:r>
    </w:p>
    <w:p w14:paraId="39F4AFCE" w14:textId="033547D4" w:rsidR="00E17ED6" w:rsidRDefault="00E17ED6" w:rsidP="00B03BD3">
      <w:pPr>
        <w:numPr>
          <w:ilvl w:val="1"/>
          <w:numId w:val="8"/>
        </w:numPr>
        <w:tabs>
          <w:tab w:val="left" w:pos="1162"/>
        </w:tabs>
        <w:spacing w:after="240"/>
        <w:rPr>
          <w:rFonts w:cs="Arial"/>
        </w:rPr>
      </w:pPr>
      <w:r>
        <w:rPr>
          <w:rFonts w:cs="Arial"/>
        </w:rPr>
        <w:t>Scope of Practice and Clinical Standards Policy.</w:t>
      </w:r>
    </w:p>
    <w:p w14:paraId="5014FCF4" w14:textId="77777777" w:rsidR="00B03BD3" w:rsidRPr="00F23FAB" w:rsidRDefault="00B03BD3" w:rsidP="00B03BD3">
      <w:pPr>
        <w:numPr>
          <w:ilvl w:val="0"/>
          <w:numId w:val="2"/>
        </w:numPr>
        <w:tabs>
          <w:tab w:val="left" w:pos="1162"/>
        </w:tabs>
        <w:spacing w:before="360" w:after="240"/>
        <w:outlineLvl w:val="0"/>
        <w:rPr>
          <w:rFonts w:cs="Arial"/>
          <w:b/>
          <w:bCs/>
          <w:sz w:val="28"/>
          <w:szCs w:val="28"/>
        </w:rPr>
      </w:pPr>
      <w:bookmarkStart w:id="28" w:name="_Toc265738159"/>
      <w:bookmarkStart w:id="29" w:name="_Toc265738740"/>
      <w:bookmarkStart w:id="30" w:name="_Toc265738827"/>
      <w:bookmarkStart w:id="31" w:name="_Toc210802639"/>
      <w:bookmarkStart w:id="32" w:name="_Toc45620367"/>
      <w:bookmarkEnd w:id="28"/>
      <w:bookmarkEnd w:id="29"/>
      <w:bookmarkEnd w:id="30"/>
      <w:r w:rsidRPr="00F23FAB">
        <w:rPr>
          <w:rFonts w:cs="Arial"/>
          <w:b/>
          <w:bCs/>
          <w:sz w:val="28"/>
          <w:szCs w:val="28"/>
        </w:rPr>
        <w:t>References</w:t>
      </w:r>
      <w:bookmarkEnd w:id="31"/>
      <w:bookmarkEnd w:id="32"/>
    </w:p>
    <w:p w14:paraId="59388520" w14:textId="0202D731" w:rsidR="00166DE1" w:rsidRPr="00166DE1" w:rsidRDefault="00166DE1" w:rsidP="00A021B8">
      <w:pPr>
        <w:numPr>
          <w:ilvl w:val="1"/>
          <w:numId w:val="8"/>
        </w:numPr>
        <w:tabs>
          <w:tab w:val="left" w:pos="1162"/>
        </w:tabs>
        <w:spacing w:after="240"/>
        <w:rPr>
          <w:rFonts w:cs="Arial"/>
          <w:b/>
          <w:bCs/>
          <w:szCs w:val="24"/>
        </w:rPr>
      </w:pPr>
      <w:r w:rsidRPr="00166DE1">
        <w:rPr>
          <w:rFonts w:cs="Arial"/>
          <w:szCs w:val="24"/>
        </w:rPr>
        <w:t>Association o</w:t>
      </w:r>
      <w:r>
        <w:rPr>
          <w:rFonts w:cs="Arial"/>
          <w:szCs w:val="24"/>
        </w:rPr>
        <w:t xml:space="preserve">f Ambulance Chief Executives (AACE) (2025). </w:t>
      </w:r>
      <w:r w:rsidRPr="00166DE1">
        <w:rPr>
          <w:rFonts w:cs="Arial"/>
          <w:i/>
          <w:iCs/>
          <w:szCs w:val="24"/>
        </w:rPr>
        <w:t>Falls Governance Framework. Integrating ambulance response within systems and neighbourhood services [online]</w:t>
      </w:r>
      <w:r>
        <w:rPr>
          <w:rFonts w:cs="Arial"/>
          <w:szCs w:val="24"/>
        </w:rPr>
        <w:t>. Version 2.</w:t>
      </w:r>
    </w:p>
    <w:p w14:paraId="50390C5C" w14:textId="20DCFF3D" w:rsidR="00A021B8" w:rsidRPr="001D3398" w:rsidRDefault="00F6312F" w:rsidP="00A021B8">
      <w:pPr>
        <w:numPr>
          <w:ilvl w:val="1"/>
          <w:numId w:val="8"/>
        </w:numPr>
        <w:tabs>
          <w:tab w:val="left" w:pos="1162"/>
        </w:tabs>
        <w:spacing w:after="240"/>
        <w:rPr>
          <w:rFonts w:cs="Arial"/>
          <w:b/>
          <w:bCs/>
          <w:sz w:val="28"/>
          <w:szCs w:val="28"/>
        </w:rPr>
      </w:pPr>
      <w:r w:rsidRPr="00F6312F">
        <w:rPr>
          <w:rFonts w:cs="Arial"/>
        </w:rPr>
        <w:t xml:space="preserve">National Institute for Health and Care Excellence (NICE) </w:t>
      </w:r>
      <w:r w:rsidR="00C507A5">
        <w:rPr>
          <w:rFonts w:cs="Arial"/>
        </w:rPr>
        <w:t xml:space="preserve">(2025). </w:t>
      </w:r>
      <w:r w:rsidR="00FF7783" w:rsidRPr="00166DE1">
        <w:rPr>
          <w:rFonts w:cs="Arial"/>
          <w:i/>
          <w:iCs/>
        </w:rPr>
        <w:t>NG249</w:t>
      </w:r>
      <w:r w:rsidRPr="00166DE1">
        <w:rPr>
          <w:rFonts w:cs="Arial"/>
          <w:i/>
          <w:iCs/>
        </w:rPr>
        <w:t>: Falls: assess</w:t>
      </w:r>
      <w:r w:rsidR="00C507A5" w:rsidRPr="00166DE1">
        <w:rPr>
          <w:rFonts w:cs="Arial"/>
          <w:i/>
          <w:iCs/>
        </w:rPr>
        <w:t>ment</w:t>
      </w:r>
      <w:r w:rsidRPr="00166DE1">
        <w:rPr>
          <w:rFonts w:cs="Arial"/>
          <w:i/>
          <w:iCs/>
        </w:rPr>
        <w:t xml:space="preserve"> and prevention </w:t>
      </w:r>
      <w:r w:rsidR="00C507A5" w:rsidRPr="00166DE1">
        <w:rPr>
          <w:rFonts w:cs="Arial"/>
          <w:i/>
          <w:iCs/>
        </w:rPr>
        <w:t>in older people and in people 50 and over at higher risk [Online]</w:t>
      </w:r>
      <w:r w:rsidR="00B03BD3" w:rsidRPr="00A021B8">
        <w:rPr>
          <w:rFonts w:cs="Arial"/>
        </w:rPr>
        <w:t>.</w:t>
      </w:r>
    </w:p>
    <w:p w14:paraId="2EB90662" w14:textId="6462D2A5" w:rsidR="001D3398" w:rsidRPr="00C26697" w:rsidRDefault="001D3398" w:rsidP="00A021B8">
      <w:pPr>
        <w:numPr>
          <w:ilvl w:val="1"/>
          <w:numId w:val="8"/>
        </w:numPr>
        <w:tabs>
          <w:tab w:val="left" w:pos="1162"/>
        </w:tabs>
        <w:spacing w:after="240"/>
        <w:rPr>
          <w:rFonts w:cs="Arial"/>
          <w:b/>
          <w:bCs/>
          <w:sz w:val="28"/>
          <w:szCs w:val="28"/>
        </w:rPr>
      </w:pPr>
      <w:r w:rsidRPr="00F6312F">
        <w:rPr>
          <w:rFonts w:cs="Arial"/>
        </w:rPr>
        <w:t xml:space="preserve">National Institute for Health and Care Excellence (NICE) </w:t>
      </w:r>
      <w:r>
        <w:rPr>
          <w:rFonts w:cs="Arial"/>
        </w:rPr>
        <w:t xml:space="preserve">(2025). </w:t>
      </w:r>
      <w:r>
        <w:rPr>
          <w:rFonts w:cs="Arial"/>
          <w:i/>
          <w:iCs/>
        </w:rPr>
        <w:t>QS86: Quality Standard</w:t>
      </w:r>
      <w:r w:rsidR="005B5A27">
        <w:rPr>
          <w:rFonts w:cs="Arial"/>
          <w:i/>
          <w:iCs/>
        </w:rPr>
        <w:t>: Falls</w:t>
      </w:r>
      <w:r w:rsidRPr="00166DE1">
        <w:rPr>
          <w:rFonts w:cs="Arial"/>
          <w:i/>
          <w:iCs/>
        </w:rPr>
        <w:t xml:space="preserve"> [Online]</w:t>
      </w:r>
      <w:r w:rsidR="005B5A27">
        <w:rPr>
          <w:rFonts w:cs="Arial"/>
          <w:i/>
          <w:iCs/>
        </w:rPr>
        <w:t>.</w:t>
      </w:r>
    </w:p>
    <w:p w14:paraId="1689B7AB" w14:textId="1F15EF67" w:rsidR="000E7208" w:rsidRPr="000E7208" w:rsidRDefault="000E7208" w:rsidP="00A021B8">
      <w:pPr>
        <w:numPr>
          <w:ilvl w:val="1"/>
          <w:numId w:val="8"/>
        </w:numPr>
        <w:tabs>
          <w:tab w:val="left" w:pos="1162"/>
        </w:tabs>
        <w:spacing w:after="240"/>
        <w:rPr>
          <w:rFonts w:cs="Arial"/>
          <w:b/>
          <w:bCs/>
          <w:sz w:val="28"/>
          <w:szCs w:val="28"/>
        </w:rPr>
      </w:pPr>
      <w:proofErr w:type="spellStart"/>
      <w:r>
        <w:rPr>
          <w:rFonts w:cs="Arial"/>
          <w:szCs w:val="24"/>
        </w:rPr>
        <w:t>Pilbery</w:t>
      </w:r>
      <w:proofErr w:type="spellEnd"/>
      <w:r>
        <w:rPr>
          <w:rFonts w:cs="Arial"/>
          <w:szCs w:val="24"/>
        </w:rPr>
        <w:t xml:space="preserve">, R. and Lethbridge, K. (2024). </w:t>
      </w:r>
      <w:r w:rsidRPr="00B40455">
        <w:rPr>
          <w:rFonts w:cs="Arial"/>
          <w:i/>
          <w:iCs/>
          <w:szCs w:val="24"/>
        </w:rPr>
        <w:t xml:space="preserve">First Responder </w:t>
      </w:r>
      <w:r w:rsidR="007F536F" w:rsidRPr="00B40455">
        <w:rPr>
          <w:rFonts w:cs="Arial"/>
          <w:i/>
          <w:iCs/>
          <w:szCs w:val="24"/>
        </w:rPr>
        <w:t>Care Essentials (Second Edition). Chapter 7: Manual Handling.</w:t>
      </w:r>
      <w:r w:rsidR="007F536F">
        <w:rPr>
          <w:rFonts w:cs="Arial"/>
          <w:szCs w:val="24"/>
        </w:rPr>
        <w:t xml:space="preserve"> </w:t>
      </w:r>
      <w:r w:rsidR="00B40455">
        <w:rPr>
          <w:rFonts w:cs="Arial"/>
          <w:szCs w:val="24"/>
        </w:rPr>
        <w:t>Class Publishing: Bridgwater.</w:t>
      </w:r>
    </w:p>
    <w:p w14:paraId="5704DB26" w14:textId="5F0D2678" w:rsidR="00C26697" w:rsidRPr="004247B1" w:rsidRDefault="00CC2182" w:rsidP="00A021B8">
      <w:pPr>
        <w:numPr>
          <w:ilvl w:val="1"/>
          <w:numId w:val="8"/>
        </w:numPr>
        <w:tabs>
          <w:tab w:val="left" w:pos="1162"/>
        </w:tabs>
        <w:spacing w:after="240"/>
        <w:rPr>
          <w:rFonts w:cs="Arial"/>
          <w:b/>
          <w:bCs/>
          <w:sz w:val="28"/>
          <w:szCs w:val="28"/>
        </w:rPr>
      </w:pPr>
      <w:r>
        <w:rPr>
          <w:rFonts w:cs="Arial"/>
        </w:rPr>
        <w:t>Public Health England (2022)</w:t>
      </w:r>
      <w:r w:rsidR="00C519CC">
        <w:rPr>
          <w:rFonts w:cs="Arial"/>
        </w:rPr>
        <w:t>.</w:t>
      </w:r>
      <w:r>
        <w:rPr>
          <w:rFonts w:cs="Arial"/>
        </w:rPr>
        <w:t xml:space="preserve"> </w:t>
      </w:r>
      <w:r w:rsidRPr="00502A1C">
        <w:rPr>
          <w:rFonts w:cs="Arial"/>
          <w:i/>
          <w:iCs/>
        </w:rPr>
        <w:t>Falls: applying All Our Health</w:t>
      </w:r>
      <w:r w:rsidR="00502A1C" w:rsidRPr="00502A1C">
        <w:rPr>
          <w:rFonts w:cs="Arial"/>
          <w:i/>
          <w:iCs/>
        </w:rPr>
        <w:t xml:space="preserve"> [online]</w:t>
      </w:r>
      <w:r w:rsidR="00502A1C">
        <w:rPr>
          <w:rFonts w:cs="Arial"/>
        </w:rPr>
        <w:t>.</w:t>
      </w:r>
    </w:p>
    <w:p w14:paraId="14276B5D" w14:textId="5E992539" w:rsidR="004247B1" w:rsidRPr="00A021B8" w:rsidRDefault="004247B1" w:rsidP="00A021B8">
      <w:pPr>
        <w:numPr>
          <w:ilvl w:val="1"/>
          <w:numId w:val="8"/>
        </w:numPr>
        <w:tabs>
          <w:tab w:val="left" w:pos="1162"/>
        </w:tabs>
        <w:spacing w:after="240"/>
        <w:rPr>
          <w:rFonts w:cs="Arial"/>
          <w:b/>
          <w:bCs/>
          <w:sz w:val="28"/>
          <w:szCs w:val="28"/>
        </w:rPr>
      </w:pPr>
      <w:r>
        <w:rPr>
          <w:rFonts w:cs="Arial"/>
        </w:rPr>
        <w:t xml:space="preserve">Snooks, H. et al., (2006). Emergency care of older people who fall: a missed opportunity. </w:t>
      </w:r>
      <w:r w:rsidRPr="004247B1">
        <w:rPr>
          <w:rFonts w:cs="Arial"/>
          <w:i/>
          <w:iCs/>
        </w:rPr>
        <w:t>Quality and Safety in Health Care</w:t>
      </w:r>
      <w:r>
        <w:rPr>
          <w:rFonts w:cs="Arial"/>
        </w:rPr>
        <w:t>. 15, pp390-392.</w:t>
      </w:r>
    </w:p>
    <w:p w14:paraId="379BF898" w14:textId="77777777" w:rsidR="00750387" w:rsidRDefault="00750387" w:rsidP="00750387">
      <w:pPr>
        <w:numPr>
          <w:ilvl w:val="0"/>
          <w:numId w:val="2"/>
        </w:numPr>
        <w:tabs>
          <w:tab w:val="left" w:pos="1162"/>
        </w:tabs>
        <w:spacing w:before="360" w:after="240"/>
        <w:outlineLvl w:val="0"/>
        <w:rPr>
          <w:rFonts w:cs="Arial"/>
          <w:b/>
          <w:bCs/>
          <w:sz w:val="28"/>
          <w:szCs w:val="28"/>
        </w:rPr>
      </w:pPr>
      <w:bookmarkStart w:id="33" w:name="_Toc33001955"/>
      <w:bookmarkStart w:id="34" w:name="_Toc45620297"/>
      <w:bookmarkStart w:id="35" w:name="_Toc45620368"/>
      <w:r>
        <w:rPr>
          <w:rFonts w:cs="Arial"/>
          <w:b/>
          <w:bCs/>
          <w:sz w:val="28"/>
          <w:szCs w:val="28"/>
        </w:rPr>
        <w:t>Financial Checkpoint</w:t>
      </w:r>
      <w:bookmarkEnd w:id="33"/>
      <w:bookmarkEnd w:id="34"/>
      <w:bookmarkEnd w:id="35"/>
    </w:p>
    <w:p w14:paraId="759CAA85" w14:textId="77777777" w:rsidR="00750387" w:rsidRDefault="00750387" w:rsidP="00750387">
      <w:pPr>
        <w:numPr>
          <w:ilvl w:val="1"/>
          <w:numId w:val="8"/>
        </w:numPr>
        <w:tabs>
          <w:tab w:val="left" w:pos="1162"/>
        </w:tabs>
        <w:spacing w:after="240"/>
        <w:rPr>
          <w:rFonts w:cs="Arial"/>
        </w:rPr>
      </w:pPr>
      <w:r w:rsidRPr="00046916">
        <w:rPr>
          <w:rFonts w:cs="Arial"/>
        </w:rPr>
        <w:t>To ensure that a</w:t>
      </w:r>
      <w:r>
        <w:rPr>
          <w:rFonts w:cs="Arial"/>
        </w:rPr>
        <w:t>ny</w:t>
      </w:r>
      <w:r w:rsidRPr="00046916">
        <w:rPr>
          <w:rFonts w:cs="Arial"/>
        </w:rPr>
        <w:t xml:space="preserve"> financial implications of changes in policy or procedure are considered in advance of document approval, </w:t>
      </w:r>
      <w:r>
        <w:rPr>
          <w:rFonts w:cs="Arial"/>
        </w:rPr>
        <w:t>document authors are required to seek approval from the Finance Team before submitting their document for final approval.</w:t>
      </w:r>
    </w:p>
    <w:p w14:paraId="2E56ADDD" w14:textId="77777777" w:rsidR="00750387" w:rsidRPr="003209AB" w:rsidRDefault="00750387" w:rsidP="00750387">
      <w:pPr>
        <w:numPr>
          <w:ilvl w:val="1"/>
          <w:numId w:val="8"/>
        </w:numPr>
        <w:tabs>
          <w:tab w:val="left" w:pos="1162"/>
        </w:tabs>
        <w:spacing w:after="240"/>
        <w:rPr>
          <w:rFonts w:cs="Arial"/>
        </w:rPr>
      </w:pPr>
      <w:r w:rsidRPr="003209AB">
        <w:rPr>
          <w:rFonts w:cs="Arial"/>
        </w:rPr>
        <w:t>This document has been confirmed by Finance to have no unbudgeted financial implications.</w:t>
      </w:r>
    </w:p>
    <w:p w14:paraId="110D980C" w14:textId="77777777" w:rsidR="000D2759" w:rsidRDefault="00A021B8" w:rsidP="000D2759">
      <w:pPr>
        <w:numPr>
          <w:ilvl w:val="0"/>
          <w:numId w:val="8"/>
        </w:numPr>
        <w:spacing w:before="360" w:after="240"/>
        <w:outlineLvl w:val="0"/>
        <w:rPr>
          <w:rFonts w:cs="Arial"/>
          <w:b/>
          <w:bCs/>
          <w:sz w:val="28"/>
          <w:szCs w:val="28"/>
        </w:rPr>
      </w:pPr>
      <w:bookmarkStart w:id="36" w:name="_Toc45620369"/>
      <w:r>
        <w:rPr>
          <w:rFonts w:cs="Arial"/>
          <w:b/>
          <w:bCs/>
          <w:sz w:val="28"/>
          <w:szCs w:val="28"/>
        </w:rPr>
        <w:t>Equality Analysis</w:t>
      </w:r>
      <w:bookmarkStart w:id="37" w:name="_Toc517104375"/>
      <w:bookmarkEnd w:id="36"/>
    </w:p>
    <w:p w14:paraId="518EACBF" w14:textId="4D9F80DE" w:rsidR="000D2759" w:rsidRPr="008A36A8" w:rsidRDefault="000D2759" w:rsidP="000D2759">
      <w:pPr>
        <w:numPr>
          <w:ilvl w:val="1"/>
          <w:numId w:val="8"/>
        </w:numPr>
        <w:tabs>
          <w:tab w:val="left" w:pos="1162"/>
        </w:tabs>
        <w:spacing w:after="240"/>
        <w:rPr>
          <w:rFonts w:cs="Arial"/>
          <w:bCs/>
        </w:rPr>
      </w:pPr>
      <w:r w:rsidRPr="008A36A8">
        <w:rPr>
          <w:rFonts w:cs="Arial"/>
          <w:bCs/>
        </w:rPr>
        <w:lastRenderedPageBreak/>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6985F18D" w14:textId="526EDF37" w:rsidR="008A36A8" w:rsidRDefault="000D2759" w:rsidP="000D2759">
      <w:pPr>
        <w:numPr>
          <w:ilvl w:val="1"/>
          <w:numId w:val="8"/>
        </w:numPr>
        <w:tabs>
          <w:tab w:val="left" w:pos="1162"/>
        </w:tabs>
        <w:spacing w:after="240"/>
        <w:rPr>
          <w:rFonts w:cs="Arial"/>
          <w:bCs/>
        </w:rPr>
      </w:pPr>
      <w:r w:rsidRPr="008A36A8">
        <w:rPr>
          <w:rFonts w:cs="Arial"/>
          <w:bCs/>
        </w:rPr>
        <w:t xml:space="preserve">Compliance with the Public Sector Equality Duty: If a contractor carries out functions of a public </w:t>
      </w:r>
      <w:proofErr w:type="gramStart"/>
      <w:r w:rsidRPr="008A36A8">
        <w:rPr>
          <w:rFonts w:cs="Arial"/>
          <w:bCs/>
        </w:rPr>
        <w:t>nature</w:t>
      </w:r>
      <w:proofErr w:type="gramEnd"/>
      <w:r w:rsidRPr="008A36A8">
        <w:rPr>
          <w:rFonts w:cs="Arial"/>
          <w:bCs/>
        </w:rPr>
        <w:t xml:space="preserve"> then for the duration of the contract, the contractor or supplier would itself be considered a public authority and have the duty to comply with the equalities duties when carrying out those functions.</w:t>
      </w:r>
    </w:p>
    <w:p w14:paraId="027634AD" w14:textId="77777777" w:rsidR="008A36A8" w:rsidRDefault="008A36A8">
      <w:pPr>
        <w:rPr>
          <w:rFonts w:cs="Arial"/>
          <w:bCs/>
        </w:rPr>
      </w:pPr>
      <w:r>
        <w:rPr>
          <w:rFonts w:cs="Arial"/>
          <w:bCs/>
        </w:rPr>
        <w:br w:type="page"/>
      </w:r>
    </w:p>
    <w:p w14:paraId="56DC9E84" w14:textId="77777777" w:rsidR="009A44CD" w:rsidRDefault="009A44CD">
      <w:pPr>
        <w:rPr>
          <w:rFonts w:cs="Arial"/>
          <w:bCs/>
        </w:rPr>
        <w:sectPr w:rsidR="009A44CD" w:rsidSect="00795074">
          <w:headerReference w:type="even" r:id="rId11"/>
          <w:headerReference w:type="first" r:id="rId12"/>
          <w:pgSz w:w="11906" w:h="16838" w:code="9"/>
          <w:pgMar w:top="1440" w:right="1440" w:bottom="1440" w:left="1440" w:header="709" w:footer="709" w:gutter="0"/>
          <w:cols w:space="708"/>
          <w:docGrid w:linePitch="360"/>
        </w:sectPr>
      </w:pPr>
    </w:p>
    <w:p w14:paraId="2536ABC3" w14:textId="77777777" w:rsidR="003440D7" w:rsidRPr="00FC31FC" w:rsidRDefault="003440D7" w:rsidP="003440D7">
      <w:pPr>
        <w:pStyle w:val="CCGHeader1numbered"/>
        <w:numPr>
          <w:ilvl w:val="0"/>
          <w:numId w:val="0"/>
        </w:numPr>
        <w:rPr>
          <w:rFonts w:cs="Arial"/>
          <w:sz w:val="36"/>
          <w:szCs w:val="36"/>
        </w:rPr>
      </w:pPr>
      <w:bookmarkStart w:id="38" w:name="_Toc69369877"/>
      <w:r w:rsidRPr="5F8CAC37">
        <w:rPr>
          <w:rFonts w:cs="Arial"/>
          <w:sz w:val="36"/>
          <w:szCs w:val="36"/>
        </w:rPr>
        <w:lastRenderedPageBreak/>
        <w:t>Equality Impact Assessment (EIA)</w:t>
      </w:r>
      <w:bookmarkEnd w:id="38"/>
    </w:p>
    <w:p w14:paraId="3D68252B" w14:textId="77777777" w:rsidR="003440D7" w:rsidRPr="00044D2B" w:rsidRDefault="003440D7" w:rsidP="003440D7">
      <w:pPr>
        <w:rPr>
          <w:rFonts w:cs="Arial"/>
          <w:lang w:eastAsia="en-GB"/>
        </w:rPr>
      </w:pPr>
      <w:r w:rsidRPr="00044D2B">
        <w:rPr>
          <w:rFonts w:cs="Arial"/>
          <w:b/>
          <w:color w:val="0070C0"/>
          <w:lang w:eastAsia="en-GB"/>
        </w:rPr>
        <w:t>What piece of work does this relate to:</w:t>
      </w:r>
      <w:r w:rsidRPr="00044D2B">
        <w:rPr>
          <w:rFonts w:cs="Arial"/>
          <w:lang w:eastAsia="en-GB"/>
        </w:rPr>
        <w:tab/>
      </w:r>
      <w:sdt>
        <w:sdtPr>
          <w:rPr>
            <w:rFonts w:cs="Arial"/>
            <w:lang w:eastAsia="en-GB"/>
          </w:rPr>
          <w:id w:val="-1253961900"/>
          <w:placeholder>
            <w:docPart w:val="6136203BD5E86249B3BD841496ADAC31"/>
          </w:placeholder>
        </w:sdtPr>
        <w:sdtContent>
          <w:r>
            <w:rPr>
              <w:rFonts w:cs="Arial"/>
              <w:lang w:eastAsia="en-GB"/>
            </w:rPr>
            <w:t>Community Falls (Volunteer Responses) Policy and Procedure</w:t>
          </w:r>
        </w:sdtContent>
      </w:sdt>
    </w:p>
    <w:p w14:paraId="63A7D222" w14:textId="77777777" w:rsidR="003440D7" w:rsidRPr="00044D2B" w:rsidRDefault="003440D7" w:rsidP="003440D7">
      <w:pPr>
        <w:rPr>
          <w:rFonts w:cs="Arial"/>
          <w:lang w:eastAsia="en-GB"/>
        </w:rPr>
      </w:pPr>
    </w:p>
    <w:p w14:paraId="38356122" w14:textId="77777777" w:rsidR="003440D7" w:rsidRPr="00044D2B" w:rsidRDefault="003440D7" w:rsidP="003440D7">
      <w:pPr>
        <w:pStyle w:val="ListParagraph"/>
        <w:widowControl w:val="0"/>
        <w:numPr>
          <w:ilvl w:val="0"/>
          <w:numId w:val="32"/>
        </w:numPr>
        <w:autoSpaceDE w:val="0"/>
        <w:autoSpaceDN w:val="0"/>
        <w:ind w:left="0" w:firstLine="0"/>
        <w:contextualSpacing w:val="0"/>
        <w:rPr>
          <w:b/>
          <w:color w:val="0070C0"/>
        </w:rPr>
      </w:pPr>
      <w:r w:rsidRPr="00044D2B">
        <w:rPr>
          <w:b/>
          <w:bCs/>
          <w:color w:val="0070C0"/>
        </w:rPr>
        <w:t>Is</w:t>
      </w:r>
      <w:r w:rsidRPr="00044D2B">
        <w:rPr>
          <w:b/>
          <w:color w:val="0070C0"/>
        </w:rPr>
        <w:t xml:space="preserve"> this a:</w:t>
      </w:r>
    </w:p>
    <w:p w14:paraId="72DC2419" w14:textId="42443C29" w:rsidR="003440D7" w:rsidRPr="00044D2B" w:rsidRDefault="003440D7" w:rsidP="003440D7">
      <w:pPr>
        <w:numPr>
          <w:ilvl w:val="0"/>
          <w:numId w:val="31"/>
        </w:numPr>
        <w:ind w:left="0"/>
        <w:contextualSpacing/>
        <w:rPr>
          <w:rFonts w:cs="Arial"/>
          <w:lang w:eastAsia="en-GB"/>
        </w:rPr>
      </w:pPr>
      <w:r w:rsidRPr="00044D2B">
        <w:rPr>
          <w:rFonts w:cs="Arial"/>
          <w:lang w:eastAsia="en-GB"/>
        </w:rPr>
        <w:t>Change to an existing strategy (long term plan of action</w:t>
      </w:r>
      <w:proofErr w:type="gramStart"/>
      <w:r w:rsidRPr="00044D2B">
        <w:rPr>
          <w:rFonts w:cs="Arial"/>
          <w:lang w:eastAsia="en-GB"/>
        </w:rPr>
        <w:t>),  policy</w:t>
      </w:r>
      <w:proofErr w:type="gramEnd"/>
      <w:r w:rsidRPr="00044D2B">
        <w:rPr>
          <w:rFonts w:cs="Arial"/>
          <w:lang w:eastAsia="en-GB"/>
        </w:rPr>
        <w:t xml:space="preserve"> or procedure </w:t>
      </w:r>
      <w:r w:rsidR="00181171">
        <w:rPr>
          <w:rFonts w:cs="Arial"/>
          <w:lang w:eastAsia="en-GB"/>
        </w:rPr>
        <w:tab/>
      </w:r>
      <w:sdt>
        <w:sdtPr>
          <w:rPr>
            <w:rFonts w:eastAsia="MS Gothic" w:cs="Arial"/>
            <w:lang w:eastAsia="en-GB"/>
          </w:rPr>
          <w:id w:val="46264756"/>
          <w14:checkbox>
            <w14:checked w14:val="1"/>
            <w14:checkedState w14:val="2612" w14:font="MS Gothic"/>
            <w14:uncheckedState w14:val="2610" w14:font="MS Gothic"/>
          </w14:checkbox>
        </w:sdtPr>
        <w:sdtContent>
          <w:r w:rsidR="00181171">
            <w:rPr>
              <w:rFonts w:ascii="MS Gothic" w:eastAsia="MS Gothic" w:hAnsi="MS Gothic" w:cs="Arial" w:hint="eastAsia"/>
              <w:lang w:eastAsia="en-GB"/>
            </w:rPr>
            <w:t>☒</w:t>
          </w:r>
        </w:sdtContent>
      </w:sdt>
    </w:p>
    <w:p w14:paraId="0261CF9E" w14:textId="4836EFF5" w:rsidR="003440D7" w:rsidRPr="00044D2B" w:rsidRDefault="003440D7" w:rsidP="003440D7">
      <w:pPr>
        <w:numPr>
          <w:ilvl w:val="0"/>
          <w:numId w:val="31"/>
        </w:numPr>
        <w:ind w:left="0"/>
        <w:contextualSpacing/>
        <w:rPr>
          <w:rFonts w:cs="Arial"/>
          <w:lang w:eastAsia="en-GB"/>
        </w:rPr>
      </w:pPr>
      <w:r w:rsidRPr="00044D2B">
        <w:rPr>
          <w:rFonts w:cs="Arial"/>
          <w:lang w:eastAsia="en-GB"/>
        </w:rPr>
        <w:t>Change to a service or function (actions or activities)</w:t>
      </w:r>
      <w:r w:rsidRPr="00044D2B">
        <w:rPr>
          <w:rFonts w:cs="Arial"/>
          <w:lang w:eastAsia="en-GB"/>
        </w:rPr>
        <w:tab/>
        <w:t xml:space="preserve">                            </w:t>
      </w:r>
      <w:r w:rsidR="00181171">
        <w:rPr>
          <w:rFonts w:cs="Arial"/>
          <w:lang w:eastAsia="en-GB"/>
        </w:rPr>
        <w:tab/>
      </w:r>
      <w:r w:rsidR="00181171">
        <w:rPr>
          <w:rFonts w:cs="Arial"/>
          <w:lang w:eastAsia="en-GB"/>
        </w:rPr>
        <w:tab/>
      </w:r>
      <w:sdt>
        <w:sdtPr>
          <w:rPr>
            <w:rFonts w:cs="Arial"/>
            <w:lang w:eastAsia="en-GB"/>
          </w:rPr>
          <w:id w:val="353156206"/>
          <w14:checkbox>
            <w14:checked w14:val="1"/>
            <w14:checkedState w14:val="2612" w14:font="MS Gothic"/>
            <w14:uncheckedState w14:val="2610" w14:font="MS Gothic"/>
          </w14:checkbox>
        </w:sdtPr>
        <w:sdtContent>
          <w:r>
            <w:rPr>
              <w:rFonts w:ascii="MS Gothic" w:eastAsia="MS Gothic" w:hAnsi="MS Gothic" w:cs="Arial" w:hint="eastAsia"/>
              <w:lang w:eastAsia="en-GB"/>
            </w:rPr>
            <w:t>☒</w:t>
          </w:r>
        </w:sdtContent>
      </w:sdt>
    </w:p>
    <w:p w14:paraId="7D668F86" w14:textId="77777777" w:rsidR="003440D7" w:rsidRPr="00044D2B" w:rsidRDefault="003440D7" w:rsidP="003440D7">
      <w:pPr>
        <w:numPr>
          <w:ilvl w:val="0"/>
          <w:numId w:val="31"/>
        </w:numPr>
        <w:ind w:left="0"/>
        <w:contextualSpacing/>
        <w:rPr>
          <w:rFonts w:cs="Arial"/>
          <w:lang w:eastAsia="en-GB"/>
        </w:rPr>
      </w:pPr>
      <w:r w:rsidRPr="00044D2B">
        <w:rPr>
          <w:rFonts w:cs="Arial"/>
          <w:lang w:eastAsia="en-GB"/>
        </w:rPr>
        <w:t>A new strategy or policy/procedure/business case/ ops bulletin etc.</w:t>
      </w:r>
      <w:r w:rsidRPr="00044D2B">
        <w:rPr>
          <w:rFonts w:cs="Arial"/>
          <w:lang w:eastAsia="en-GB"/>
        </w:rPr>
        <w:tab/>
      </w:r>
      <w:r w:rsidRPr="00044D2B">
        <w:rPr>
          <w:rFonts w:cs="Arial"/>
          <w:lang w:eastAsia="en-GB"/>
        </w:rPr>
        <w:tab/>
      </w:r>
      <w:sdt>
        <w:sdtPr>
          <w:rPr>
            <w:rFonts w:cs="Arial"/>
            <w:lang w:eastAsia="en-GB"/>
          </w:rPr>
          <w:id w:val="838577372"/>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p w14:paraId="629D118C" w14:textId="4EC4C3EA" w:rsidR="003440D7" w:rsidRPr="00044D2B" w:rsidRDefault="003440D7" w:rsidP="003440D7">
      <w:pPr>
        <w:numPr>
          <w:ilvl w:val="0"/>
          <w:numId w:val="31"/>
        </w:numPr>
        <w:ind w:left="0"/>
        <w:contextualSpacing/>
        <w:rPr>
          <w:rFonts w:cs="Arial"/>
          <w:lang w:eastAsia="en-GB"/>
        </w:rPr>
      </w:pPr>
      <w:r w:rsidRPr="00044D2B">
        <w:rPr>
          <w:rFonts w:cs="Arial"/>
          <w:lang w:eastAsia="en-GB"/>
        </w:rPr>
        <w:t>A new service or function</w:t>
      </w:r>
      <w:r w:rsidRPr="00044D2B">
        <w:rPr>
          <w:rFonts w:cs="Arial"/>
          <w:lang w:eastAsia="en-GB"/>
        </w:rPr>
        <w:tab/>
      </w:r>
      <w:r w:rsidRPr="00044D2B">
        <w:rPr>
          <w:rFonts w:cs="Arial"/>
          <w:lang w:eastAsia="en-GB"/>
        </w:rPr>
        <w:tab/>
        <w:t xml:space="preserve">                                                                      </w:t>
      </w:r>
      <w:sdt>
        <w:sdtPr>
          <w:rPr>
            <w:rFonts w:cs="Arial"/>
            <w:lang w:eastAsia="en-GB"/>
          </w:rPr>
          <w:id w:val="-988007452"/>
          <w14:checkbox>
            <w14:checked w14:val="0"/>
            <w14:checkedState w14:val="2612" w14:font="MS Gothic"/>
            <w14:uncheckedState w14:val="2610" w14:font="MS Gothic"/>
          </w14:checkbox>
        </w:sdtPr>
        <w:sdtContent>
          <w:r w:rsidRPr="00044D2B">
            <w:rPr>
              <w:rFonts w:ascii="Segoe UI Symbol" w:hAnsi="Segoe UI Symbol" w:cs="Segoe UI Symbol"/>
              <w:lang w:eastAsia="en-GB"/>
            </w:rPr>
            <w:t>☐</w:t>
          </w:r>
        </w:sdtContent>
      </w:sdt>
    </w:p>
    <w:p w14:paraId="3EB72105" w14:textId="16E2E79B" w:rsidR="003440D7" w:rsidRPr="00044D2B" w:rsidRDefault="003440D7" w:rsidP="003440D7">
      <w:pPr>
        <w:numPr>
          <w:ilvl w:val="0"/>
          <w:numId w:val="31"/>
        </w:numPr>
        <w:ind w:left="0"/>
        <w:contextualSpacing/>
        <w:rPr>
          <w:rFonts w:cs="Arial"/>
          <w:lang w:eastAsia="en-GB"/>
        </w:rPr>
      </w:pPr>
      <w:r w:rsidRPr="00044D2B">
        <w:rPr>
          <w:rFonts w:cs="Arial"/>
          <w:lang w:eastAsia="en-GB"/>
        </w:rPr>
        <w:t>Project which requires approval at Board or Working group</w:t>
      </w:r>
      <w:r w:rsidRPr="00044D2B">
        <w:rPr>
          <w:rFonts w:cs="Arial"/>
          <w:lang w:eastAsia="en-GB"/>
        </w:rPr>
        <w:tab/>
      </w:r>
      <w:r w:rsidRPr="00044D2B">
        <w:rPr>
          <w:rFonts w:cs="Arial"/>
          <w:lang w:eastAsia="en-GB"/>
        </w:rPr>
        <w:tab/>
        <w:t xml:space="preserve">                 </w:t>
      </w:r>
      <w:r w:rsidR="00181171">
        <w:rPr>
          <w:rFonts w:cs="Arial"/>
          <w:lang w:eastAsia="en-GB"/>
        </w:rPr>
        <w:t xml:space="preserve"> </w:t>
      </w:r>
      <w:sdt>
        <w:sdtPr>
          <w:rPr>
            <w:rFonts w:cs="Arial"/>
            <w:lang w:eastAsia="en-GB"/>
          </w:rPr>
          <w:id w:val="912125909"/>
          <w14:checkbox>
            <w14:checked w14:val="0"/>
            <w14:checkedState w14:val="2612" w14:font="MS Gothic"/>
            <w14:uncheckedState w14:val="2610" w14:font="MS Gothic"/>
          </w14:checkbox>
        </w:sdtPr>
        <w:sdtContent>
          <w:r w:rsidRPr="00044D2B">
            <w:rPr>
              <w:rFonts w:ascii="Segoe UI Symbol" w:hAnsi="Segoe UI Symbol" w:cs="Segoe UI Symbol"/>
              <w:lang w:eastAsia="en-GB"/>
            </w:rPr>
            <w:t>☐</w:t>
          </w:r>
        </w:sdtContent>
      </w:sdt>
      <w:r w:rsidRPr="00044D2B">
        <w:rPr>
          <w:rFonts w:cs="Arial"/>
          <w:lang w:eastAsia="en-GB"/>
        </w:rPr>
        <w:tab/>
      </w:r>
      <w:r w:rsidRPr="00044D2B">
        <w:rPr>
          <w:rFonts w:cs="Arial"/>
          <w:lang w:eastAsia="en-GB"/>
        </w:rPr>
        <w:tab/>
      </w:r>
    </w:p>
    <w:p w14:paraId="127A8BA5" w14:textId="77777777" w:rsidR="003440D7" w:rsidRPr="00044D2B" w:rsidRDefault="003440D7" w:rsidP="003440D7">
      <w:pPr>
        <w:rPr>
          <w:rFonts w:cs="Arial"/>
          <w:lang w:eastAsia="en-GB"/>
        </w:rPr>
      </w:pPr>
    </w:p>
    <w:p w14:paraId="024BEFB8" w14:textId="77777777" w:rsidR="003440D7" w:rsidRPr="00044D2B" w:rsidRDefault="003440D7" w:rsidP="003440D7">
      <w:pPr>
        <w:pStyle w:val="ListParagraph"/>
        <w:widowControl w:val="0"/>
        <w:numPr>
          <w:ilvl w:val="0"/>
          <w:numId w:val="32"/>
        </w:numPr>
        <w:autoSpaceDE w:val="0"/>
        <w:autoSpaceDN w:val="0"/>
        <w:ind w:left="0" w:firstLine="0"/>
        <w:contextualSpacing w:val="0"/>
        <w:rPr>
          <w:b/>
          <w:color w:val="0070C0"/>
        </w:rPr>
      </w:pPr>
      <w:r w:rsidRPr="00044D2B">
        <w:rPr>
          <w:b/>
          <w:color w:val="0070C0"/>
        </w:rPr>
        <w:t>Who will be impacted by this work? Tick all that apply.</w:t>
      </w:r>
    </w:p>
    <w:tbl>
      <w:tblPr>
        <w:tblStyle w:val="TableGrid"/>
        <w:tblW w:w="14312" w:type="dxa"/>
        <w:tblLook w:val="04A0" w:firstRow="1" w:lastRow="0" w:firstColumn="1" w:lastColumn="0" w:noHBand="0" w:noVBand="1"/>
      </w:tblPr>
      <w:tblGrid>
        <w:gridCol w:w="2122"/>
        <w:gridCol w:w="2835"/>
        <w:gridCol w:w="2268"/>
        <w:gridCol w:w="7087"/>
      </w:tblGrid>
      <w:tr w:rsidR="003440D7" w:rsidRPr="00044D2B" w14:paraId="29D0B624" w14:textId="77777777" w:rsidTr="001F1536">
        <w:tc>
          <w:tcPr>
            <w:tcW w:w="2122" w:type="dxa"/>
          </w:tcPr>
          <w:p w14:paraId="363810DB" w14:textId="77777777" w:rsidR="003440D7" w:rsidRPr="00044D2B" w:rsidRDefault="003440D7" w:rsidP="001F1536">
            <w:pPr>
              <w:pStyle w:val="CCGAParatext"/>
              <w:rPr>
                <w:rFonts w:cs="Arial"/>
                <w:sz w:val="22"/>
              </w:rPr>
            </w:pPr>
            <w:r w:rsidRPr="00044D2B">
              <w:rPr>
                <w:rFonts w:cs="Arial"/>
                <w:sz w:val="22"/>
              </w:rPr>
              <w:t xml:space="preserve">Patients      </w:t>
            </w:r>
            <w:r>
              <w:rPr>
                <w:rFonts w:ascii="Wingdings" w:hAnsi="Wingdings" w:cs="Segoe UI Symbol"/>
                <w:sz w:val="22"/>
              </w:rPr>
              <w:t>x</w:t>
            </w:r>
          </w:p>
          <w:p w14:paraId="1FEB5F14" w14:textId="77777777" w:rsidR="003440D7" w:rsidRPr="00044D2B" w:rsidRDefault="003440D7" w:rsidP="001F1536">
            <w:pPr>
              <w:pStyle w:val="CCGAParatext"/>
              <w:rPr>
                <w:rFonts w:cs="Arial"/>
                <w:sz w:val="22"/>
              </w:rPr>
            </w:pPr>
            <w:r w:rsidRPr="00044D2B">
              <w:rPr>
                <w:rFonts w:cs="Arial"/>
                <w:sz w:val="22"/>
              </w:rPr>
              <w:t xml:space="preserve">Carers         </w:t>
            </w:r>
            <w:r w:rsidRPr="00044D2B">
              <w:rPr>
                <w:rFonts w:ascii="Segoe UI Symbol" w:hAnsi="Segoe UI Symbol" w:cs="Segoe UI Symbol"/>
                <w:sz w:val="22"/>
              </w:rPr>
              <w:t>☐</w:t>
            </w:r>
          </w:p>
          <w:p w14:paraId="7E66DB95" w14:textId="2A4342C4" w:rsidR="003440D7" w:rsidRPr="00044D2B" w:rsidRDefault="003440D7" w:rsidP="001F1536">
            <w:pPr>
              <w:pStyle w:val="CCGAParatext"/>
              <w:rPr>
                <w:rFonts w:cs="Arial"/>
                <w:sz w:val="22"/>
              </w:rPr>
            </w:pPr>
            <w:r w:rsidRPr="00044D2B">
              <w:rPr>
                <w:rFonts w:cs="Arial"/>
                <w:sz w:val="22"/>
              </w:rPr>
              <w:t>Staff</w:t>
            </w:r>
            <w:r w:rsidRPr="00044D2B">
              <w:rPr>
                <w:rFonts w:cs="Arial"/>
                <w:sz w:val="22"/>
              </w:rPr>
              <w:tab/>
              <w:t xml:space="preserve">        </w:t>
            </w:r>
            <w:r>
              <w:rPr>
                <w:rFonts w:ascii="Wingdings" w:hAnsi="Wingdings" w:cs="Segoe UI Symbol"/>
                <w:sz w:val="22"/>
              </w:rPr>
              <w:t>x</w:t>
            </w:r>
          </w:p>
        </w:tc>
        <w:tc>
          <w:tcPr>
            <w:tcW w:w="2835" w:type="dxa"/>
          </w:tcPr>
          <w:p w14:paraId="4B02E461" w14:textId="77777777" w:rsidR="003440D7" w:rsidRPr="00044D2B" w:rsidRDefault="003440D7" w:rsidP="001F1536">
            <w:pPr>
              <w:pStyle w:val="CCGAParatext"/>
              <w:rPr>
                <w:rFonts w:cs="Arial"/>
                <w:sz w:val="22"/>
              </w:rPr>
            </w:pPr>
            <w:r w:rsidRPr="00044D2B">
              <w:rPr>
                <w:rFonts w:cs="Arial"/>
                <w:sz w:val="22"/>
              </w:rPr>
              <w:t xml:space="preserve">Student/learners    </w:t>
            </w:r>
            <w:r w:rsidRPr="00044D2B">
              <w:rPr>
                <w:rFonts w:ascii="Segoe UI Symbol" w:hAnsi="Segoe UI Symbol" w:cs="Segoe UI Symbol"/>
                <w:sz w:val="22"/>
              </w:rPr>
              <w:t>☐</w:t>
            </w:r>
          </w:p>
          <w:p w14:paraId="490043D1" w14:textId="77777777" w:rsidR="003440D7" w:rsidRPr="00044D2B" w:rsidRDefault="003440D7" w:rsidP="001F1536">
            <w:pPr>
              <w:pStyle w:val="CCGAParatext"/>
              <w:rPr>
                <w:rFonts w:cs="Arial"/>
                <w:sz w:val="22"/>
              </w:rPr>
            </w:pPr>
            <w:r w:rsidRPr="00044D2B">
              <w:rPr>
                <w:rFonts w:cs="Arial"/>
                <w:sz w:val="22"/>
              </w:rPr>
              <w:t xml:space="preserve">Trade unions         </w:t>
            </w:r>
            <w:r w:rsidRPr="00044D2B">
              <w:rPr>
                <w:rFonts w:ascii="Segoe UI Symbol" w:hAnsi="Segoe UI Symbol" w:cs="Segoe UI Symbol"/>
                <w:sz w:val="22"/>
              </w:rPr>
              <w:t>☐</w:t>
            </w:r>
          </w:p>
          <w:p w14:paraId="2A3675F4" w14:textId="77777777" w:rsidR="003440D7" w:rsidRPr="00044D2B" w:rsidRDefault="003440D7" w:rsidP="001F1536">
            <w:pPr>
              <w:pStyle w:val="CCGAParatext"/>
              <w:rPr>
                <w:rFonts w:cs="Arial"/>
                <w:sz w:val="22"/>
              </w:rPr>
            </w:pPr>
            <w:r w:rsidRPr="00044D2B">
              <w:rPr>
                <w:rFonts w:cs="Arial"/>
                <w:sz w:val="22"/>
              </w:rPr>
              <w:t xml:space="preserve">Suppliers               </w:t>
            </w:r>
            <w:r w:rsidRPr="00044D2B">
              <w:rPr>
                <w:rFonts w:ascii="Segoe UI Symbol" w:hAnsi="Segoe UI Symbol" w:cs="Segoe UI Symbol"/>
                <w:sz w:val="22"/>
              </w:rPr>
              <w:t>☐</w:t>
            </w:r>
          </w:p>
        </w:tc>
        <w:tc>
          <w:tcPr>
            <w:tcW w:w="2268" w:type="dxa"/>
          </w:tcPr>
          <w:p w14:paraId="0657E0FE" w14:textId="77777777" w:rsidR="003440D7" w:rsidRPr="00044D2B" w:rsidRDefault="003440D7" w:rsidP="001F1536">
            <w:pPr>
              <w:pStyle w:val="CCGAParatext"/>
              <w:rPr>
                <w:rFonts w:cs="Arial"/>
                <w:sz w:val="22"/>
              </w:rPr>
            </w:pPr>
            <w:r w:rsidRPr="00044D2B">
              <w:rPr>
                <w:rFonts w:cs="Arial"/>
                <w:sz w:val="22"/>
              </w:rPr>
              <w:t xml:space="preserve">Volunteers </w:t>
            </w:r>
            <w:r>
              <w:rPr>
                <w:rFonts w:ascii="Wingdings" w:hAnsi="Wingdings" w:cs="Segoe UI Symbol"/>
                <w:sz w:val="22"/>
              </w:rPr>
              <w:t>x</w:t>
            </w:r>
          </w:p>
          <w:p w14:paraId="745F3175" w14:textId="77777777" w:rsidR="003440D7" w:rsidRPr="00044D2B" w:rsidRDefault="003440D7" w:rsidP="001F1536">
            <w:pPr>
              <w:pStyle w:val="CCGAParatext"/>
              <w:rPr>
                <w:rFonts w:cs="Arial"/>
                <w:sz w:val="22"/>
              </w:rPr>
            </w:pPr>
          </w:p>
          <w:p w14:paraId="02F956C2" w14:textId="77777777" w:rsidR="003440D7" w:rsidRPr="00044D2B" w:rsidRDefault="003440D7" w:rsidP="001F1536">
            <w:pPr>
              <w:pStyle w:val="CCGAParatext"/>
              <w:rPr>
                <w:rFonts w:cs="Arial"/>
                <w:sz w:val="22"/>
              </w:rPr>
            </w:pPr>
          </w:p>
        </w:tc>
        <w:tc>
          <w:tcPr>
            <w:tcW w:w="7087" w:type="dxa"/>
          </w:tcPr>
          <w:p w14:paraId="42C72354" w14:textId="0D4105A5" w:rsidR="003440D7" w:rsidRPr="00044D2B" w:rsidRDefault="003440D7" w:rsidP="001F1536">
            <w:pPr>
              <w:pStyle w:val="CCGAParatext"/>
              <w:rPr>
                <w:rFonts w:cs="Arial"/>
                <w:sz w:val="22"/>
              </w:rPr>
            </w:pPr>
            <w:r w:rsidRPr="00044D2B">
              <w:rPr>
                <w:rFonts w:cs="Arial"/>
                <w:sz w:val="22"/>
              </w:rPr>
              <w:t xml:space="preserve">External Partners (please specify below) </w:t>
            </w:r>
            <w:r w:rsidRPr="00044D2B">
              <w:rPr>
                <w:rFonts w:ascii="Segoe UI Symbol" w:hAnsi="Segoe UI Symbol" w:cs="Segoe UI Symbol"/>
                <w:sz w:val="22"/>
              </w:rPr>
              <w:t>☐</w:t>
            </w:r>
          </w:p>
          <w:p w14:paraId="6CA333DE" w14:textId="77777777" w:rsidR="003440D7" w:rsidRPr="00044D2B" w:rsidRDefault="003440D7" w:rsidP="001F1536">
            <w:pPr>
              <w:pStyle w:val="CCGAParatext"/>
              <w:rPr>
                <w:rFonts w:cs="Arial"/>
                <w:sz w:val="22"/>
              </w:rPr>
            </w:pPr>
            <w:r w:rsidRPr="00044D2B">
              <w:rPr>
                <w:rFonts w:cs="Arial"/>
                <w:sz w:val="22"/>
              </w:rPr>
              <w:t xml:space="preserve">Other (including a particular geographical area, describe below) </w:t>
            </w:r>
            <w:r w:rsidRPr="00044D2B">
              <w:rPr>
                <w:rFonts w:ascii="Segoe UI Symbol" w:hAnsi="Segoe UI Symbol" w:cs="Segoe UI Symbol"/>
                <w:sz w:val="22"/>
              </w:rPr>
              <w:t>☐</w:t>
            </w:r>
          </w:p>
          <w:p w14:paraId="4C09AA22" w14:textId="07A17C70" w:rsidR="003440D7" w:rsidRPr="00044D2B" w:rsidRDefault="003440D7" w:rsidP="001F1536">
            <w:pPr>
              <w:pStyle w:val="CCGAParatext"/>
              <w:rPr>
                <w:rFonts w:cs="Arial"/>
                <w:sz w:val="22"/>
              </w:rPr>
            </w:pPr>
          </w:p>
        </w:tc>
      </w:tr>
    </w:tbl>
    <w:p w14:paraId="46E84A1C" w14:textId="77777777" w:rsidR="003440D7" w:rsidRPr="00044D2B" w:rsidRDefault="003440D7" w:rsidP="003440D7">
      <w:pPr>
        <w:pStyle w:val="CCGAParatext"/>
        <w:rPr>
          <w:rFonts w:cs="Arial"/>
          <w:sz w:val="22"/>
        </w:rPr>
      </w:pPr>
    </w:p>
    <w:p w14:paraId="586FF581" w14:textId="77777777" w:rsidR="003440D7" w:rsidRPr="00044D2B" w:rsidRDefault="003440D7" w:rsidP="003440D7">
      <w:pPr>
        <w:pStyle w:val="ListParagraph"/>
        <w:widowControl w:val="0"/>
        <w:numPr>
          <w:ilvl w:val="0"/>
          <w:numId w:val="32"/>
        </w:numPr>
        <w:autoSpaceDE w:val="0"/>
        <w:autoSpaceDN w:val="0"/>
        <w:ind w:left="0" w:firstLine="0"/>
        <w:contextualSpacing w:val="0"/>
        <w:rPr>
          <w:b/>
          <w:color w:val="0070C0"/>
        </w:rPr>
      </w:pPr>
      <w:r w:rsidRPr="00044D2B">
        <w:rPr>
          <w:b/>
          <w:color w:val="0070C0"/>
        </w:rPr>
        <w:t xml:space="preserve">Summarise the work being assessed. Describe </w:t>
      </w:r>
      <w:proofErr w:type="gramStart"/>
      <w:r w:rsidRPr="00044D2B">
        <w:rPr>
          <w:b/>
          <w:color w:val="0070C0"/>
        </w:rPr>
        <w:t>current status</w:t>
      </w:r>
      <w:proofErr w:type="gramEnd"/>
      <w:r w:rsidRPr="00044D2B">
        <w:rPr>
          <w:b/>
          <w:color w:val="0070C0"/>
        </w:rPr>
        <w:t xml:space="preserve"> followed by any changes that stakeholders would experience.</w:t>
      </w:r>
    </w:p>
    <w:tbl>
      <w:tblPr>
        <w:tblStyle w:val="GridTable1Light"/>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12"/>
      </w:tblGrid>
      <w:tr w:rsidR="003440D7" w:rsidRPr="00044D2B" w14:paraId="1C978DF0" w14:textId="77777777" w:rsidTr="001F1536">
        <w:trPr>
          <w:cnfStyle w:val="100000000000" w:firstRow="1" w:lastRow="0" w:firstColumn="0" w:lastColumn="0" w:oddVBand="0" w:evenVBand="0" w:oddHBand="0" w:evenHBand="0" w:firstRowFirstColumn="0" w:firstRowLastColumn="0" w:lastRowFirstColumn="0" w:lastRowLastColumn="0"/>
          <w:trHeight w:val="983"/>
        </w:trPr>
        <w:tc>
          <w:tcPr>
            <w:tcW w:w="14312" w:type="dxa"/>
          </w:tcPr>
          <w:p w14:paraId="5A2A2DD4" w14:textId="77777777" w:rsidR="003440D7" w:rsidRDefault="003440D7" w:rsidP="001F1536">
            <w:pPr>
              <w:numPr>
                <w:ilvl w:val="2"/>
                <w:numId w:val="0"/>
              </w:numPr>
              <w:rPr>
                <w:rFonts w:cs="Arial"/>
                <w:bCs w:val="0"/>
              </w:rPr>
            </w:pPr>
            <w:r>
              <w:rPr>
                <w:rFonts w:cs="Arial"/>
                <w:b w:val="0"/>
              </w:rPr>
              <w:t>This Policy and Procedure consolidates two existing documents – the Community Falls Team Model of Care Policy v1 and the Community Falls Team Procedure v1 – into one comprehensive document which underpins the delivery model for volunteer falls responses. Other than minor procedural developments, the main change are the introduction of a planned delay in ambulance dispatch when a volunteer is available to allow the volunteer to assess and support the patient, and the incorporation of a remote clinical consultation (including remote discharge where clinically appropriate and safe) by an appropriately qualified and experienced clinician. This supports the Trust’s Model of Care for Falls and Frailty and is consistent with the strategic shift to virtual care for suitable patients.</w:t>
            </w:r>
          </w:p>
          <w:p w14:paraId="26B2B344" w14:textId="77777777" w:rsidR="00181171" w:rsidRDefault="00181171" w:rsidP="001F1536">
            <w:pPr>
              <w:numPr>
                <w:ilvl w:val="2"/>
                <w:numId w:val="0"/>
              </w:numPr>
              <w:rPr>
                <w:rFonts w:cs="Arial"/>
                <w:bCs w:val="0"/>
              </w:rPr>
            </w:pPr>
          </w:p>
          <w:p w14:paraId="1F2D014C" w14:textId="77777777" w:rsidR="003440D7" w:rsidRPr="00044D2B" w:rsidRDefault="003440D7" w:rsidP="001F1536">
            <w:pPr>
              <w:numPr>
                <w:ilvl w:val="2"/>
                <w:numId w:val="0"/>
              </w:numPr>
              <w:rPr>
                <w:rFonts w:cs="Arial"/>
                <w:b w:val="0"/>
              </w:rPr>
            </w:pPr>
            <w:r>
              <w:rPr>
                <w:rFonts w:cs="Arial"/>
                <w:b w:val="0"/>
              </w:rPr>
              <w:lastRenderedPageBreak/>
              <w:t xml:space="preserve">Research and evidence: </w:t>
            </w:r>
            <w:r w:rsidRPr="00FC4685">
              <w:rPr>
                <w:rFonts w:cs="Arial"/>
                <w:b w:val="0"/>
              </w:rPr>
              <w:t>National and local data indicate that risk of falls and long-lie complications is significantly higher among older adults and people with certain disabilities or long-term conditions. NICE NG249 highlights that prolonged time on the floor increases risk of hypothermia, rhabdomyolysis and pressure damage. SECAmb incident data similarly shows increased demand from older populations. These insights have informed the design of volunteer-supported responses to reduce inequalities and improve outcomes for these groups.</w:t>
            </w:r>
          </w:p>
        </w:tc>
      </w:tr>
    </w:tbl>
    <w:p w14:paraId="7D2CF50B" w14:textId="77777777" w:rsidR="003440D7" w:rsidRDefault="003440D7" w:rsidP="003440D7">
      <w:pPr>
        <w:rPr>
          <w:rFonts w:cs="Arial"/>
          <w:b/>
          <w:color w:val="0070C0"/>
        </w:rPr>
      </w:pPr>
    </w:p>
    <w:p w14:paraId="40C1A46D" w14:textId="77777777" w:rsidR="003440D7" w:rsidRPr="00044D2B" w:rsidRDefault="003440D7" w:rsidP="003440D7">
      <w:pPr>
        <w:pStyle w:val="ListParagraph"/>
        <w:widowControl w:val="0"/>
        <w:numPr>
          <w:ilvl w:val="0"/>
          <w:numId w:val="32"/>
        </w:numPr>
        <w:autoSpaceDE w:val="0"/>
        <w:autoSpaceDN w:val="0"/>
        <w:ind w:left="0" w:firstLine="0"/>
        <w:contextualSpacing w:val="0"/>
        <w:rPr>
          <w:b/>
          <w:color w:val="0070C0"/>
        </w:rPr>
      </w:pPr>
      <w:r w:rsidRPr="00044D2B">
        <w:rPr>
          <w:b/>
          <w:bCs/>
          <w:color w:val="0070C0"/>
        </w:rPr>
        <w:t>Checklist</w:t>
      </w:r>
    </w:p>
    <w:p w14:paraId="5FCDC5FC" w14:textId="77777777" w:rsidR="003440D7" w:rsidRPr="00044D2B" w:rsidRDefault="003440D7" w:rsidP="003440D7">
      <w:pPr>
        <w:pStyle w:val="ListParagraph"/>
        <w:ind w:left="0"/>
      </w:pPr>
    </w:p>
    <w:tbl>
      <w:tblPr>
        <w:tblStyle w:val="GridTable1Light"/>
        <w:tblW w:w="14312" w:type="dxa"/>
        <w:tblLayout w:type="fixed"/>
        <w:tblLook w:val="0420" w:firstRow="1" w:lastRow="0" w:firstColumn="0" w:lastColumn="0" w:noHBand="0" w:noVBand="1"/>
      </w:tblPr>
      <w:tblGrid>
        <w:gridCol w:w="12895"/>
        <w:gridCol w:w="708"/>
        <w:gridCol w:w="709"/>
      </w:tblGrid>
      <w:tr w:rsidR="003440D7" w:rsidRPr="0024364E" w14:paraId="7C5B7066" w14:textId="77777777" w:rsidTr="00181171">
        <w:trPr>
          <w:cnfStyle w:val="100000000000" w:firstRow="1" w:lastRow="0" w:firstColumn="0" w:lastColumn="0" w:oddVBand="0" w:evenVBand="0" w:oddHBand="0" w:evenHBand="0" w:firstRowFirstColumn="0" w:firstRowLastColumn="0" w:lastRowFirstColumn="0" w:lastRowLastColumn="0"/>
          <w:trHeight w:val="1835"/>
        </w:trPr>
        <w:tc>
          <w:tcPr>
            <w:tcW w:w="14312" w:type="dxa"/>
            <w:gridSpan w:val="3"/>
          </w:tcPr>
          <w:p w14:paraId="74312CF6" w14:textId="77777777" w:rsidR="003440D7" w:rsidRPr="0024364E" w:rsidRDefault="003440D7" w:rsidP="001F1536">
            <w:pPr>
              <w:numPr>
                <w:ilvl w:val="2"/>
                <w:numId w:val="0"/>
              </w:numPr>
              <w:spacing w:after="120"/>
              <w:rPr>
                <w:rFonts w:cs="Arial"/>
                <w:b w:val="0"/>
                <w:sz w:val="20"/>
                <w:szCs w:val="20"/>
              </w:rPr>
            </w:pPr>
            <w:r w:rsidRPr="0024364E">
              <w:rPr>
                <w:rFonts w:cs="Arial"/>
                <w:b w:val="0"/>
                <w:sz w:val="20"/>
                <w:szCs w:val="20"/>
              </w:rPr>
              <w:t xml:space="preserve">All the Trust’s policies, programmes, strategies, services and major developments affect patients, carers, service users, employees and the wider community. These will have a greater or lesser relevance to equality, diversity and inclusion.  </w:t>
            </w:r>
          </w:p>
          <w:p w14:paraId="1D96C019" w14:textId="77777777" w:rsidR="003440D7" w:rsidRPr="0024364E" w:rsidRDefault="003440D7" w:rsidP="001F1536">
            <w:pPr>
              <w:numPr>
                <w:ilvl w:val="2"/>
                <w:numId w:val="0"/>
              </w:numPr>
              <w:spacing w:after="120"/>
              <w:rPr>
                <w:rFonts w:cs="Arial"/>
                <w:b w:val="0"/>
                <w:sz w:val="20"/>
                <w:szCs w:val="20"/>
              </w:rPr>
            </w:pPr>
            <w:r w:rsidRPr="0024364E">
              <w:rPr>
                <w:rFonts w:cs="Arial"/>
                <w:b w:val="0"/>
                <w:sz w:val="20"/>
                <w:szCs w:val="20"/>
              </w:rPr>
              <w:t>The following questions will help you to identify how relevant your proposals are.</w:t>
            </w:r>
          </w:p>
          <w:p w14:paraId="3B5433C2" w14:textId="77777777" w:rsidR="003440D7" w:rsidRPr="0024364E" w:rsidRDefault="003440D7" w:rsidP="001F1536">
            <w:pPr>
              <w:numPr>
                <w:ilvl w:val="2"/>
                <w:numId w:val="0"/>
              </w:numPr>
              <w:spacing w:after="120"/>
              <w:rPr>
                <w:rFonts w:cs="Arial"/>
                <w:b w:val="0"/>
                <w:sz w:val="20"/>
                <w:szCs w:val="20"/>
              </w:rPr>
            </w:pPr>
            <w:r w:rsidRPr="0024364E">
              <w:rPr>
                <w:rFonts w:cs="Arial"/>
                <w:b w:val="0"/>
                <w:sz w:val="20"/>
                <w:szCs w:val="20"/>
              </w:rPr>
              <w:t>When considering these questions think about age, carers, disability, gender reassignment, race, religion or belief, sex, sexual orientation, pregnancy and maternity and any other relevant characteristics (for example socio-economic status, social class, income, unemployment, residential location or family background and education or skills levels).</w:t>
            </w:r>
          </w:p>
          <w:p w14:paraId="2852678E" w14:textId="77777777" w:rsidR="003440D7" w:rsidRPr="0024364E" w:rsidRDefault="003440D7" w:rsidP="001F1536">
            <w:pPr>
              <w:numPr>
                <w:ilvl w:val="2"/>
                <w:numId w:val="0"/>
              </w:numPr>
              <w:spacing w:after="120"/>
              <w:rPr>
                <w:rFonts w:cs="Arial"/>
                <w:sz w:val="20"/>
                <w:szCs w:val="20"/>
              </w:rPr>
            </w:pPr>
            <w:r w:rsidRPr="0024364E">
              <w:rPr>
                <w:rFonts w:cs="Arial"/>
                <w:b w:val="0"/>
                <w:sz w:val="20"/>
                <w:szCs w:val="20"/>
              </w:rPr>
              <w:t>Make notes to assist with the completion of the EIA.</w:t>
            </w:r>
          </w:p>
        </w:tc>
      </w:tr>
      <w:tr w:rsidR="003440D7" w:rsidRPr="0024364E" w14:paraId="49B72AAE" w14:textId="77777777" w:rsidTr="00181171">
        <w:tc>
          <w:tcPr>
            <w:tcW w:w="12895" w:type="dxa"/>
            <w:shd w:val="clear" w:color="auto" w:fill="D9D9D9" w:themeFill="background1" w:themeFillShade="D9"/>
          </w:tcPr>
          <w:p w14:paraId="5AF3F3A3" w14:textId="77777777" w:rsidR="003440D7" w:rsidRPr="0024364E" w:rsidRDefault="003440D7" w:rsidP="001F1536">
            <w:pPr>
              <w:numPr>
                <w:ilvl w:val="2"/>
                <w:numId w:val="0"/>
              </w:numPr>
              <w:spacing w:after="120"/>
              <w:rPr>
                <w:rFonts w:cs="Arial"/>
                <w:b/>
                <w:sz w:val="20"/>
                <w:szCs w:val="20"/>
              </w:rPr>
            </w:pPr>
            <w:r w:rsidRPr="0024364E">
              <w:rPr>
                <w:rFonts w:cs="Arial"/>
                <w:b/>
                <w:sz w:val="20"/>
                <w:szCs w:val="20"/>
              </w:rPr>
              <w:t xml:space="preserve">Questions </w:t>
            </w:r>
          </w:p>
        </w:tc>
        <w:tc>
          <w:tcPr>
            <w:tcW w:w="708" w:type="dxa"/>
            <w:shd w:val="clear" w:color="auto" w:fill="D9D9D9" w:themeFill="background1" w:themeFillShade="D9"/>
            <w:vAlign w:val="center"/>
          </w:tcPr>
          <w:p w14:paraId="5BD69459" w14:textId="77777777" w:rsidR="003440D7" w:rsidRPr="0024364E" w:rsidRDefault="003440D7" w:rsidP="001F1536">
            <w:pPr>
              <w:numPr>
                <w:ilvl w:val="2"/>
                <w:numId w:val="0"/>
              </w:numPr>
              <w:spacing w:after="120"/>
              <w:jc w:val="center"/>
              <w:rPr>
                <w:rFonts w:cs="Arial"/>
                <w:b/>
                <w:sz w:val="20"/>
                <w:szCs w:val="20"/>
              </w:rPr>
            </w:pPr>
            <w:r w:rsidRPr="0024364E">
              <w:rPr>
                <w:rFonts w:cs="Arial"/>
                <w:b/>
                <w:sz w:val="20"/>
                <w:szCs w:val="20"/>
              </w:rPr>
              <w:t>Yes</w:t>
            </w:r>
          </w:p>
        </w:tc>
        <w:tc>
          <w:tcPr>
            <w:tcW w:w="709" w:type="dxa"/>
            <w:shd w:val="clear" w:color="auto" w:fill="D9D9D9" w:themeFill="background1" w:themeFillShade="D9"/>
            <w:vAlign w:val="center"/>
          </w:tcPr>
          <w:p w14:paraId="5205F5E5" w14:textId="77777777" w:rsidR="003440D7" w:rsidRPr="0024364E" w:rsidRDefault="003440D7" w:rsidP="001F1536">
            <w:pPr>
              <w:numPr>
                <w:ilvl w:val="2"/>
                <w:numId w:val="0"/>
              </w:numPr>
              <w:spacing w:after="120"/>
              <w:jc w:val="center"/>
              <w:rPr>
                <w:rFonts w:cs="Arial"/>
                <w:b/>
                <w:sz w:val="20"/>
                <w:szCs w:val="20"/>
              </w:rPr>
            </w:pPr>
            <w:r w:rsidRPr="0024364E">
              <w:rPr>
                <w:rFonts w:cs="Arial"/>
                <w:b/>
                <w:sz w:val="20"/>
                <w:szCs w:val="20"/>
              </w:rPr>
              <w:t>No</w:t>
            </w:r>
          </w:p>
        </w:tc>
      </w:tr>
      <w:tr w:rsidR="003440D7" w:rsidRPr="0024364E" w14:paraId="4F475496" w14:textId="77777777" w:rsidTr="00181171">
        <w:trPr>
          <w:trHeight w:val="315"/>
        </w:trPr>
        <w:tc>
          <w:tcPr>
            <w:tcW w:w="12895" w:type="dxa"/>
          </w:tcPr>
          <w:p w14:paraId="12ED42E9" w14:textId="77777777" w:rsidR="003440D7" w:rsidRPr="0024364E" w:rsidRDefault="003440D7" w:rsidP="001F1536">
            <w:pPr>
              <w:numPr>
                <w:ilvl w:val="2"/>
                <w:numId w:val="0"/>
              </w:numPr>
              <w:spacing w:after="120"/>
              <w:rPr>
                <w:rFonts w:cs="Arial"/>
                <w:sz w:val="20"/>
                <w:szCs w:val="20"/>
                <w:lang w:val="en-US"/>
              </w:rPr>
            </w:pPr>
            <w:r w:rsidRPr="0024364E">
              <w:rPr>
                <w:rFonts w:cs="Arial"/>
                <w:sz w:val="20"/>
                <w:szCs w:val="20"/>
                <w:lang w:val="en-US"/>
              </w:rPr>
              <w:t xml:space="preserve">Is there potential for/ indication of or evidence that the proposed change will affect different population groups differently (including possibly discriminating against certain groups)? </w:t>
            </w:r>
          </w:p>
        </w:tc>
        <w:tc>
          <w:tcPr>
            <w:tcW w:w="708" w:type="dxa"/>
            <w:vMerge w:val="restart"/>
            <w:vAlign w:val="center"/>
          </w:tcPr>
          <w:sdt>
            <w:sdtPr>
              <w:rPr>
                <w:rFonts w:cs="Arial"/>
                <w:sz w:val="20"/>
              </w:rPr>
              <w:id w:val="-1302763164"/>
              <w14:checkbox>
                <w14:checked w14:val="0"/>
                <w14:checkedState w14:val="2612" w14:font="MS Gothic"/>
                <w14:uncheckedState w14:val="2610" w14:font="MS Gothic"/>
              </w14:checkbox>
            </w:sdtPr>
            <w:sdtContent>
              <w:p w14:paraId="332C9520" w14:textId="77777777" w:rsidR="003440D7" w:rsidRPr="0024364E" w:rsidRDefault="003440D7" w:rsidP="001F1536">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709" w:type="dxa"/>
            <w:vMerge w:val="restart"/>
            <w:vAlign w:val="center"/>
          </w:tcPr>
          <w:sdt>
            <w:sdtPr>
              <w:rPr>
                <w:rFonts w:cs="Arial"/>
                <w:sz w:val="20"/>
              </w:rPr>
              <w:id w:val="-2012134322"/>
              <w14:checkbox>
                <w14:checked w14:val="1"/>
                <w14:checkedState w14:val="2612" w14:font="MS Gothic"/>
                <w14:uncheckedState w14:val="2610" w14:font="MS Gothic"/>
              </w14:checkbox>
            </w:sdtPr>
            <w:sdtContent>
              <w:p w14:paraId="5061B41B" w14:textId="77777777" w:rsidR="003440D7" w:rsidRPr="0024364E" w:rsidRDefault="003440D7" w:rsidP="001F1536">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3440D7" w:rsidRPr="0024364E" w14:paraId="09DD9DEB" w14:textId="77777777" w:rsidTr="00181171">
        <w:trPr>
          <w:trHeight w:val="315"/>
        </w:trPr>
        <w:tc>
          <w:tcPr>
            <w:tcW w:w="12895" w:type="dxa"/>
          </w:tcPr>
          <w:p w14:paraId="4B2F523F" w14:textId="6FFB0806" w:rsidR="003440D7" w:rsidRPr="00181171" w:rsidRDefault="003440D7" w:rsidP="001F1536">
            <w:pPr>
              <w:numPr>
                <w:ilvl w:val="2"/>
                <w:numId w:val="0"/>
              </w:numPr>
              <w:spacing w:after="120"/>
              <w:rPr>
                <w:rFonts w:cs="Arial"/>
                <w:i/>
                <w:iCs/>
                <w:sz w:val="20"/>
                <w:szCs w:val="20"/>
              </w:rPr>
            </w:pPr>
            <w:r w:rsidRPr="0024364E">
              <w:rPr>
                <w:rFonts w:cs="Arial"/>
                <w:i/>
                <w:iCs/>
                <w:sz w:val="20"/>
                <w:szCs w:val="20"/>
              </w:rPr>
              <w:t>If yes, please add information:</w:t>
            </w:r>
          </w:p>
        </w:tc>
        <w:tc>
          <w:tcPr>
            <w:tcW w:w="708" w:type="dxa"/>
            <w:vMerge/>
            <w:vAlign w:val="center"/>
          </w:tcPr>
          <w:p w14:paraId="71731985" w14:textId="77777777" w:rsidR="003440D7" w:rsidRPr="0024364E" w:rsidRDefault="003440D7" w:rsidP="001F1536">
            <w:pPr>
              <w:numPr>
                <w:ilvl w:val="2"/>
                <w:numId w:val="0"/>
              </w:numPr>
              <w:spacing w:after="120"/>
              <w:jc w:val="center"/>
              <w:rPr>
                <w:rFonts w:cs="Arial"/>
                <w:sz w:val="20"/>
                <w:szCs w:val="20"/>
              </w:rPr>
            </w:pPr>
          </w:p>
        </w:tc>
        <w:tc>
          <w:tcPr>
            <w:tcW w:w="709" w:type="dxa"/>
            <w:vMerge/>
            <w:vAlign w:val="center"/>
          </w:tcPr>
          <w:p w14:paraId="67A6ECF7" w14:textId="77777777" w:rsidR="003440D7" w:rsidRPr="0024364E" w:rsidRDefault="003440D7" w:rsidP="001F1536">
            <w:pPr>
              <w:numPr>
                <w:ilvl w:val="2"/>
                <w:numId w:val="0"/>
              </w:numPr>
              <w:spacing w:after="120"/>
              <w:jc w:val="center"/>
              <w:rPr>
                <w:rFonts w:cs="Arial"/>
                <w:sz w:val="20"/>
                <w:szCs w:val="20"/>
              </w:rPr>
            </w:pPr>
          </w:p>
        </w:tc>
      </w:tr>
      <w:tr w:rsidR="003440D7" w:rsidRPr="0024364E" w14:paraId="02B9384D" w14:textId="77777777" w:rsidTr="00181171">
        <w:trPr>
          <w:trHeight w:val="315"/>
        </w:trPr>
        <w:tc>
          <w:tcPr>
            <w:tcW w:w="12895" w:type="dxa"/>
          </w:tcPr>
          <w:p w14:paraId="16000036" w14:textId="77777777" w:rsidR="003440D7" w:rsidRPr="0024364E" w:rsidRDefault="003440D7" w:rsidP="001F1536">
            <w:pPr>
              <w:numPr>
                <w:ilvl w:val="2"/>
                <w:numId w:val="0"/>
              </w:numPr>
              <w:spacing w:after="120"/>
              <w:rPr>
                <w:rFonts w:cs="Arial"/>
                <w:sz w:val="20"/>
                <w:szCs w:val="20"/>
              </w:rPr>
            </w:pPr>
            <w:r w:rsidRPr="0024364E">
              <w:rPr>
                <w:rFonts w:cs="Arial"/>
                <w:sz w:val="20"/>
                <w:szCs w:val="20"/>
              </w:rPr>
              <w:t xml:space="preserve">Have there been or are there likely to be any public concerns (including media, academic, voluntary or sector specific interest) about the change? </w:t>
            </w:r>
          </w:p>
        </w:tc>
        <w:tc>
          <w:tcPr>
            <w:tcW w:w="708" w:type="dxa"/>
            <w:vMerge w:val="restart"/>
            <w:vAlign w:val="center"/>
          </w:tcPr>
          <w:sdt>
            <w:sdtPr>
              <w:rPr>
                <w:rFonts w:cs="Arial"/>
                <w:sz w:val="20"/>
              </w:rPr>
              <w:id w:val="-940064002"/>
              <w14:checkbox>
                <w14:checked w14:val="1"/>
                <w14:checkedState w14:val="2612" w14:font="MS Gothic"/>
                <w14:uncheckedState w14:val="2610" w14:font="MS Gothic"/>
              </w14:checkbox>
            </w:sdtPr>
            <w:sdtContent>
              <w:p w14:paraId="1914E82B" w14:textId="77777777" w:rsidR="003440D7" w:rsidRPr="0024364E" w:rsidRDefault="003440D7" w:rsidP="001F1536">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c>
          <w:tcPr>
            <w:tcW w:w="709" w:type="dxa"/>
            <w:vMerge w:val="restart"/>
            <w:vAlign w:val="center"/>
          </w:tcPr>
          <w:sdt>
            <w:sdtPr>
              <w:rPr>
                <w:rFonts w:cs="Arial"/>
                <w:sz w:val="20"/>
              </w:rPr>
              <w:id w:val="-453721178"/>
              <w14:checkbox>
                <w14:checked w14:val="0"/>
                <w14:checkedState w14:val="2612" w14:font="MS Gothic"/>
                <w14:uncheckedState w14:val="2610" w14:font="MS Gothic"/>
              </w14:checkbox>
            </w:sdtPr>
            <w:sdtContent>
              <w:p w14:paraId="521B7736" w14:textId="77777777" w:rsidR="003440D7" w:rsidRPr="0024364E" w:rsidRDefault="003440D7" w:rsidP="001F1536">
                <w:pPr>
                  <w:numPr>
                    <w:ilvl w:val="2"/>
                    <w:numId w:val="0"/>
                  </w:numPr>
                  <w:spacing w:after="120"/>
                  <w:jc w:val="center"/>
                  <w:rPr>
                    <w:rFonts w:cs="Arial"/>
                    <w:sz w:val="20"/>
                    <w:szCs w:val="20"/>
                  </w:rPr>
                </w:pPr>
                <w:r w:rsidRPr="0024364E">
                  <w:rPr>
                    <w:rFonts w:ascii="MS Gothic" w:eastAsia="MS Gothic" w:hAnsi="MS Gothic" w:cs="Arial" w:hint="eastAsia"/>
                    <w:sz w:val="20"/>
                    <w:szCs w:val="20"/>
                  </w:rPr>
                  <w:t>☐</w:t>
                </w:r>
              </w:p>
            </w:sdtContent>
          </w:sdt>
        </w:tc>
      </w:tr>
      <w:tr w:rsidR="003440D7" w:rsidRPr="0024364E" w14:paraId="398450F9" w14:textId="77777777" w:rsidTr="00181171">
        <w:trPr>
          <w:trHeight w:val="315"/>
        </w:trPr>
        <w:tc>
          <w:tcPr>
            <w:tcW w:w="12895" w:type="dxa"/>
          </w:tcPr>
          <w:p w14:paraId="16B181BF" w14:textId="77777777" w:rsidR="003440D7" w:rsidRPr="0024364E" w:rsidRDefault="003440D7" w:rsidP="001F1536">
            <w:pPr>
              <w:numPr>
                <w:ilvl w:val="2"/>
                <w:numId w:val="0"/>
              </w:numPr>
              <w:spacing w:after="120"/>
              <w:rPr>
                <w:rFonts w:cs="Arial"/>
                <w:i/>
                <w:iCs/>
                <w:sz w:val="20"/>
                <w:szCs w:val="20"/>
              </w:rPr>
            </w:pPr>
            <w:r w:rsidRPr="0024364E">
              <w:rPr>
                <w:rFonts w:cs="Arial"/>
                <w:i/>
                <w:iCs/>
                <w:sz w:val="20"/>
                <w:szCs w:val="20"/>
              </w:rPr>
              <w:t>If yes, please add information:</w:t>
            </w:r>
          </w:p>
          <w:p w14:paraId="32CB3077" w14:textId="77777777" w:rsidR="003440D7" w:rsidRPr="0024364E" w:rsidRDefault="003440D7" w:rsidP="001F1536">
            <w:pPr>
              <w:numPr>
                <w:ilvl w:val="2"/>
                <w:numId w:val="0"/>
              </w:numPr>
              <w:spacing w:after="120"/>
              <w:rPr>
                <w:rFonts w:cs="Arial"/>
                <w:sz w:val="20"/>
                <w:szCs w:val="20"/>
              </w:rPr>
            </w:pPr>
            <w:r>
              <w:rPr>
                <w:rFonts w:cs="Arial"/>
                <w:sz w:val="20"/>
                <w:szCs w:val="20"/>
              </w:rPr>
              <w:t>Risk of scrutiny around use of volunteers supplementing the ambulance response, and in some cases preventing the need for an ambulance to attend, however there is consistent with NHS strategic recommendations to utilise volunteer-led services, complies with the AACE Falls Governance Framework, and is an extension of existing volunteer-led approaches which are positively received.</w:t>
            </w:r>
          </w:p>
        </w:tc>
        <w:tc>
          <w:tcPr>
            <w:tcW w:w="708" w:type="dxa"/>
            <w:vMerge/>
            <w:vAlign w:val="center"/>
          </w:tcPr>
          <w:p w14:paraId="380F18ED" w14:textId="77777777" w:rsidR="003440D7" w:rsidRPr="0024364E" w:rsidRDefault="003440D7" w:rsidP="001F1536">
            <w:pPr>
              <w:numPr>
                <w:ilvl w:val="2"/>
                <w:numId w:val="0"/>
              </w:numPr>
              <w:spacing w:after="120"/>
              <w:jc w:val="center"/>
              <w:rPr>
                <w:rFonts w:cs="Arial"/>
                <w:sz w:val="20"/>
                <w:szCs w:val="20"/>
              </w:rPr>
            </w:pPr>
          </w:p>
        </w:tc>
        <w:tc>
          <w:tcPr>
            <w:tcW w:w="709" w:type="dxa"/>
            <w:vMerge/>
            <w:vAlign w:val="center"/>
          </w:tcPr>
          <w:p w14:paraId="363C11D1" w14:textId="77777777" w:rsidR="003440D7" w:rsidRPr="0024364E" w:rsidRDefault="003440D7" w:rsidP="001F1536">
            <w:pPr>
              <w:numPr>
                <w:ilvl w:val="2"/>
                <w:numId w:val="0"/>
              </w:numPr>
              <w:spacing w:after="120"/>
              <w:jc w:val="center"/>
              <w:rPr>
                <w:rFonts w:cs="Arial"/>
                <w:sz w:val="20"/>
                <w:szCs w:val="20"/>
              </w:rPr>
            </w:pPr>
          </w:p>
        </w:tc>
      </w:tr>
      <w:tr w:rsidR="003440D7" w:rsidRPr="0024364E" w14:paraId="7E402456" w14:textId="77777777" w:rsidTr="00181171">
        <w:trPr>
          <w:trHeight w:val="210"/>
        </w:trPr>
        <w:tc>
          <w:tcPr>
            <w:tcW w:w="12895" w:type="dxa"/>
          </w:tcPr>
          <w:p w14:paraId="24233654" w14:textId="77777777" w:rsidR="003440D7" w:rsidRPr="0024364E" w:rsidRDefault="003440D7" w:rsidP="001F1536">
            <w:pPr>
              <w:numPr>
                <w:ilvl w:val="2"/>
                <w:numId w:val="0"/>
              </w:numPr>
              <w:spacing w:after="120"/>
              <w:rPr>
                <w:rFonts w:cs="Arial"/>
                <w:sz w:val="20"/>
                <w:szCs w:val="20"/>
              </w:rPr>
            </w:pPr>
            <w:r w:rsidRPr="0024364E">
              <w:rPr>
                <w:rFonts w:cs="Arial"/>
                <w:sz w:val="20"/>
                <w:szCs w:val="20"/>
              </w:rPr>
              <w:t>Could the proposal affect how our services, commissioning or procurement activities are organised, provided, located and by whom?</w:t>
            </w:r>
          </w:p>
        </w:tc>
        <w:tc>
          <w:tcPr>
            <w:tcW w:w="708" w:type="dxa"/>
            <w:vMerge w:val="restart"/>
            <w:vAlign w:val="center"/>
          </w:tcPr>
          <w:sdt>
            <w:sdtPr>
              <w:rPr>
                <w:rFonts w:cs="Arial"/>
                <w:sz w:val="20"/>
              </w:rPr>
              <w:id w:val="759645510"/>
              <w14:checkbox>
                <w14:checked w14:val="0"/>
                <w14:checkedState w14:val="2612" w14:font="MS Gothic"/>
                <w14:uncheckedState w14:val="2610" w14:font="MS Gothic"/>
              </w14:checkbox>
            </w:sdtPr>
            <w:sdtContent>
              <w:p w14:paraId="75E7EE22" w14:textId="77777777" w:rsidR="003440D7" w:rsidRPr="0024364E" w:rsidRDefault="003440D7" w:rsidP="001F1536">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709" w:type="dxa"/>
            <w:vMerge w:val="restart"/>
            <w:vAlign w:val="center"/>
          </w:tcPr>
          <w:sdt>
            <w:sdtPr>
              <w:rPr>
                <w:rFonts w:cs="Arial"/>
                <w:sz w:val="20"/>
              </w:rPr>
              <w:id w:val="-579828958"/>
              <w14:checkbox>
                <w14:checked w14:val="1"/>
                <w14:checkedState w14:val="2612" w14:font="MS Gothic"/>
                <w14:uncheckedState w14:val="2610" w14:font="MS Gothic"/>
              </w14:checkbox>
            </w:sdtPr>
            <w:sdtContent>
              <w:p w14:paraId="5DA78257" w14:textId="77777777" w:rsidR="003440D7" w:rsidRPr="0024364E" w:rsidRDefault="003440D7" w:rsidP="001F1536">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3440D7" w:rsidRPr="0024364E" w14:paraId="77957C95" w14:textId="77777777" w:rsidTr="00181171">
        <w:trPr>
          <w:trHeight w:val="210"/>
        </w:trPr>
        <w:tc>
          <w:tcPr>
            <w:tcW w:w="12895" w:type="dxa"/>
          </w:tcPr>
          <w:p w14:paraId="7DBEE42F" w14:textId="77777777" w:rsidR="003440D7" w:rsidRPr="003C39AC" w:rsidRDefault="003440D7" w:rsidP="001F1536">
            <w:pPr>
              <w:numPr>
                <w:ilvl w:val="2"/>
                <w:numId w:val="0"/>
              </w:numPr>
              <w:spacing w:after="120"/>
              <w:rPr>
                <w:rFonts w:cs="Arial"/>
                <w:i/>
                <w:iCs/>
                <w:sz w:val="20"/>
                <w:szCs w:val="20"/>
              </w:rPr>
            </w:pPr>
            <w:r w:rsidRPr="0024364E">
              <w:rPr>
                <w:rFonts w:cs="Arial"/>
                <w:i/>
                <w:iCs/>
                <w:sz w:val="20"/>
                <w:szCs w:val="20"/>
              </w:rPr>
              <w:t>If yes, please add information:</w:t>
            </w:r>
          </w:p>
        </w:tc>
        <w:tc>
          <w:tcPr>
            <w:tcW w:w="708" w:type="dxa"/>
            <w:vMerge/>
            <w:vAlign w:val="center"/>
          </w:tcPr>
          <w:p w14:paraId="1F44E353" w14:textId="77777777" w:rsidR="003440D7" w:rsidRPr="0024364E" w:rsidRDefault="003440D7" w:rsidP="001F1536">
            <w:pPr>
              <w:numPr>
                <w:ilvl w:val="2"/>
                <w:numId w:val="0"/>
              </w:numPr>
              <w:spacing w:after="120"/>
              <w:jc w:val="center"/>
              <w:rPr>
                <w:rFonts w:cs="Arial"/>
                <w:sz w:val="20"/>
                <w:szCs w:val="20"/>
              </w:rPr>
            </w:pPr>
          </w:p>
        </w:tc>
        <w:tc>
          <w:tcPr>
            <w:tcW w:w="709" w:type="dxa"/>
            <w:vMerge/>
            <w:vAlign w:val="center"/>
          </w:tcPr>
          <w:p w14:paraId="30D1B18F" w14:textId="77777777" w:rsidR="003440D7" w:rsidRPr="0024364E" w:rsidRDefault="003440D7" w:rsidP="001F1536">
            <w:pPr>
              <w:numPr>
                <w:ilvl w:val="2"/>
                <w:numId w:val="0"/>
              </w:numPr>
              <w:spacing w:after="120"/>
              <w:jc w:val="center"/>
              <w:rPr>
                <w:rFonts w:cs="Arial"/>
                <w:sz w:val="20"/>
                <w:szCs w:val="20"/>
              </w:rPr>
            </w:pPr>
          </w:p>
        </w:tc>
      </w:tr>
      <w:tr w:rsidR="003440D7" w:rsidRPr="0024364E" w14:paraId="6FE6BB50" w14:textId="77777777" w:rsidTr="00181171">
        <w:trPr>
          <w:trHeight w:val="210"/>
        </w:trPr>
        <w:tc>
          <w:tcPr>
            <w:tcW w:w="12895" w:type="dxa"/>
          </w:tcPr>
          <w:p w14:paraId="3CD964D4" w14:textId="77777777" w:rsidR="003440D7" w:rsidRPr="0024364E" w:rsidRDefault="003440D7" w:rsidP="001F1536">
            <w:pPr>
              <w:numPr>
                <w:ilvl w:val="2"/>
                <w:numId w:val="0"/>
              </w:numPr>
              <w:spacing w:after="120"/>
              <w:rPr>
                <w:rFonts w:cs="Arial"/>
                <w:sz w:val="20"/>
                <w:szCs w:val="20"/>
              </w:rPr>
            </w:pPr>
            <w:r w:rsidRPr="0024364E">
              <w:rPr>
                <w:rFonts w:cs="Arial"/>
                <w:sz w:val="20"/>
                <w:szCs w:val="20"/>
              </w:rPr>
              <w:t>Could the proposal affect our workforce or employment practices?</w:t>
            </w:r>
          </w:p>
        </w:tc>
        <w:tc>
          <w:tcPr>
            <w:tcW w:w="708" w:type="dxa"/>
            <w:vMerge w:val="restart"/>
            <w:vAlign w:val="center"/>
          </w:tcPr>
          <w:sdt>
            <w:sdtPr>
              <w:rPr>
                <w:rFonts w:cs="Arial"/>
                <w:sz w:val="20"/>
              </w:rPr>
              <w:id w:val="268745711"/>
              <w14:checkbox>
                <w14:checked w14:val="0"/>
                <w14:checkedState w14:val="2612" w14:font="MS Gothic"/>
                <w14:uncheckedState w14:val="2610" w14:font="MS Gothic"/>
              </w14:checkbox>
            </w:sdtPr>
            <w:sdtContent>
              <w:p w14:paraId="7AFDE6DD" w14:textId="77777777" w:rsidR="003440D7" w:rsidRPr="0024364E" w:rsidRDefault="003440D7" w:rsidP="001F1536">
                <w:pPr>
                  <w:numPr>
                    <w:ilvl w:val="2"/>
                    <w:numId w:val="0"/>
                  </w:numPr>
                  <w:spacing w:after="120"/>
                  <w:jc w:val="center"/>
                  <w:rPr>
                    <w:rFonts w:cs="Arial"/>
                    <w:sz w:val="20"/>
                    <w:szCs w:val="20"/>
                  </w:rPr>
                </w:pPr>
                <w:r w:rsidRPr="0024364E">
                  <w:rPr>
                    <w:rFonts w:ascii="MS Gothic" w:eastAsia="MS Gothic" w:hAnsi="MS Gothic" w:cs="Arial" w:hint="eastAsia"/>
                    <w:sz w:val="20"/>
                    <w:szCs w:val="20"/>
                  </w:rPr>
                  <w:t>☐</w:t>
                </w:r>
              </w:p>
            </w:sdtContent>
          </w:sdt>
        </w:tc>
        <w:tc>
          <w:tcPr>
            <w:tcW w:w="709" w:type="dxa"/>
            <w:vMerge w:val="restart"/>
            <w:vAlign w:val="center"/>
          </w:tcPr>
          <w:sdt>
            <w:sdtPr>
              <w:rPr>
                <w:rFonts w:cs="Arial"/>
                <w:sz w:val="20"/>
              </w:rPr>
              <w:id w:val="798876735"/>
              <w14:checkbox>
                <w14:checked w14:val="1"/>
                <w14:checkedState w14:val="2612" w14:font="MS Gothic"/>
                <w14:uncheckedState w14:val="2610" w14:font="MS Gothic"/>
              </w14:checkbox>
            </w:sdtPr>
            <w:sdtContent>
              <w:p w14:paraId="798EA1EB" w14:textId="77777777" w:rsidR="003440D7" w:rsidRPr="0024364E" w:rsidRDefault="003440D7" w:rsidP="001F1536">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3440D7" w:rsidRPr="0024364E" w14:paraId="72CA3A8A" w14:textId="77777777" w:rsidTr="00181171">
        <w:trPr>
          <w:trHeight w:val="210"/>
        </w:trPr>
        <w:tc>
          <w:tcPr>
            <w:tcW w:w="12895" w:type="dxa"/>
          </w:tcPr>
          <w:p w14:paraId="01ACF184" w14:textId="77777777" w:rsidR="003440D7" w:rsidRPr="0024364E" w:rsidRDefault="003440D7" w:rsidP="001F1536">
            <w:pPr>
              <w:numPr>
                <w:ilvl w:val="2"/>
                <w:numId w:val="0"/>
              </w:numPr>
              <w:spacing w:after="120"/>
              <w:rPr>
                <w:rFonts w:cs="Arial"/>
                <w:i/>
                <w:iCs/>
                <w:sz w:val="20"/>
                <w:szCs w:val="20"/>
              </w:rPr>
            </w:pPr>
            <w:r w:rsidRPr="0024364E">
              <w:rPr>
                <w:rFonts w:cs="Arial"/>
                <w:i/>
                <w:iCs/>
                <w:sz w:val="20"/>
                <w:szCs w:val="20"/>
              </w:rPr>
              <w:t>If yes, please add information:</w:t>
            </w:r>
          </w:p>
          <w:p w14:paraId="62B9F565" w14:textId="77777777" w:rsidR="003440D7" w:rsidRPr="0024364E" w:rsidRDefault="003440D7" w:rsidP="001F1536">
            <w:pPr>
              <w:numPr>
                <w:ilvl w:val="2"/>
                <w:numId w:val="0"/>
              </w:numPr>
              <w:spacing w:after="120"/>
              <w:rPr>
                <w:rFonts w:cs="Arial"/>
                <w:sz w:val="20"/>
                <w:szCs w:val="20"/>
              </w:rPr>
            </w:pPr>
            <w:r>
              <w:rPr>
                <w:rFonts w:cs="Arial"/>
                <w:sz w:val="20"/>
                <w:szCs w:val="20"/>
              </w:rPr>
              <w:lastRenderedPageBreak/>
              <w:t>Specifically, utilisation of volunteers is in addition to, not replacement of, employed positions.</w:t>
            </w:r>
          </w:p>
        </w:tc>
        <w:tc>
          <w:tcPr>
            <w:tcW w:w="708" w:type="dxa"/>
            <w:vMerge/>
            <w:vAlign w:val="center"/>
          </w:tcPr>
          <w:p w14:paraId="1308167D" w14:textId="77777777" w:rsidR="003440D7" w:rsidRPr="0024364E" w:rsidRDefault="003440D7" w:rsidP="001F1536">
            <w:pPr>
              <w:numPr>
                <w:ilvl w:val="2"/>
                <w:numId w:val="0"/>
              </w:numPr>
              <w:spacing w:after="120"/>
              <w:jc w:val="center"/>
              <w:rPr>
                <w:rFonts w:cs="Arial"/>
                <w:sz w:val="20"/>
                <w:szCs w:val="20"/>
              </w:rPr>
            </w:pPr>
          </w:p>
        </w:tc>
        <w:tc>
          <w:tcPr>
            <w:tcW w:w="709" w:type="dxa"/>
            <w:vMerge/>
            <w:vAlign w:val="center"/>
          </w:tcPr>
          <w:p w14:paraId="38536804" w14:textId="77777777" w:rsidR="003440D7" w:rsidRPr="0024364E" w:rsidRDefault="003440D7" w:rsidP="001F1536">
            <w:pPr>
              <w:numPr>
                <w:ilvl w:val="2"/>
                <w:numId w:val="0"/>
              </w:numPr>
              <w:spacing w:after="120"/>
              <w:jc w:val="center"/>
              <w:rPr>
                <w:rFonts w:cs="Arial"/>
                <w:sz w:val="20"/>
                <w:szCs w:val="20"/>
              </w:rPr>
            </w:pPr>
          </w:p>
        </w:tc>
      </w:tr>
      <w:tr w:rsidR="003440D7" w:rsidRPr="0024364E" w14:paraId="09E17A3E" w14:textId="77777777" w:rsidTr="00181171">
        <w:trPr>
          <w:trHeight w:val="315"/>
        </w:trPr>
        <w:tc>
          <w:tcPr>
            <w:tcW w:w="12895" w:type="dxa"/>
          </w:tcPr>
          <w:p w14:paraId="5334BF36" w14:textId="77777777" w:rsidR="003440D7" w:rsidRPr="0024364E" w:rsidRDefault="003440D7" w:rsidP="001F1536">
            <w:pPr>
              <w:numPr>
                <w:ilvl w:val="2"/>
                <w:numId w:val="0"/>
              </w:numPr>
              <w:spacing w:after="120"/>
              <w:rPr>
                <w:rFonts w:cs="Arial"/>
                <w:sz w:val="20"/>
                <w:szCs w:val="20"/>
              </w:rPr>
            </w:pPr>
            <w:r w:rsidRPr="0024364E">
              <w:rPr>
                <w:rFonts w:cs="Arial"/>
                <w:sz w:val="20"/>
                <w:szCs w:val="20"/>
                <w:lang w:val="en-US"/>
              </w:rPr>
              <w:t>Is there potential for or evidence that the proposed change will not promote equality of opportunity or promote good relations between different groups?</w:t>
            </w:r>
            <w:r w:rsidRPr="0024364E">
              <w:rPr>
                <w:rFonts w:cs="Arial"/>
                <w:sz w:val="20"/>
                <w:szCs w:val="20"/>
              </w:rPr>
              <w:t xml:space="preserve"> </w:t>
            </w:r>
          </w:p>
        </w:tc>
        <w:tc>
          <w:tcPr>
            <w:tcW w:w="708" w:type="dxa"/>
            <w:vMerge w:val="restart"/>
            <w:vAlign w:val="center"/>
          </w:tcPr>
          <w:sdt>
            <w:sdtPr>
              <w:rPr>
                <w:rFonts w:cs="Arial"/>
                <w:sz w:val="20"/>
              </w:rPr>
              <w:id w:val="-1380773157"/>
              <w14:checkbox>
                <w14:checked w14:val="0"/>
                <w14:checkedState w14:val="2612" w14:font="MS Gothic"/>
                <w14:uncheckedState w14:val="2610" w14:font="MS Gothic"/>
              </w14:checkbox>
            </w:sdtPr>
            <w:sdtContent>
              <w:p w14:paraId="299856DB" w14:textId="77777777" w:rsidR="003440D7" w:rsidRPr="0024364E" w:rsidRDefault="003440D7" w:rsidP="001F1536">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709" w:type="dxa"/>
            <w:vMerge w:val="restart"/>
            <w:vAlign w:val="center"/>
          </w:tcPr>
          <w:sdt>
            <w:sdtPr>
              <w:rPr>
                <w:rFonts w:cs="Arial"/>
                <w:sz w:val="20"/>
              </w:rPr>
              <w:id w:val="-1746340070"/>
              <w14:checkbox>
                <w14:checked w14:val="1"/>
                <w14:checkedState w14:val="2612" w14:font="MS Gothic"/>
                <w14:uncheckedState w14:val="2610" w14:font="MS Gothic"/>
              </w14:checkbox>
            </w:sdtPr>
            <w:sdtContent>
              <w:p w14:paraId="5448DA09" w14:textId="77777777" w:rsidR="003440D7" w:rsidRPr="0024364E" w:rsidRDefault="003440D7" w:rsidP="001F1536">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3440D7" w:rsidRPr="0024364E" w14:paraId="1EF4D38C" w14:textId="77777777" w:rsidTr="00181171">
        <w:trPr>
          <w:trHeight w:val="315"/>
        </w:trPr>
        <w:tc>
          <w:tcPr>
            <w:tcW w:w="12895" w:type="dxa"/>
          </w:tcPr>
          <w:p w14:paraId="74E74106" w14:textId="57344ABF" w:rsidR="003440D7" w:rsidRPr="00181171" w:rsidRDefault="003440D7" w:rsidP="001F1536">
            <w:pPr>
              <w:numPr>
                <w:ilvl w:val="2"/>
                <w:numId w:val="0"/>
              </w:numPr>
              <w:spacing w:after="120"/>
              <w:rPr>
                <w:rFonts w:cs="Arial"/>
                <w:i/>
                <w:iCs/>
                <w:sz w:val="20"/>
                <w:szCs w:val="20"/>
              </w:rPr>
            </w:pPr>
            <w:r w:rsidRPr="0024364E">
              <w:rPr>
                <w:rFonts w:cs="Arial"/>
                <w:i/>
                <w:iCs/>
                <w:sz w:val="20"/>
                <w:szCs w:val="20"/>
              </w:rPr>
              <w:t>If yes, please add information:</w:t>
            </w:r>
          </w:p>
        </w:tc>
        <w:tc>
          <w:tcPr>
            <w:tcW w:w="708" w:type="dxa"/>
            <w:vMerge/>
            <w:vAlign w:val="center"/>
          </w:tcPr>
          <w:p w14:paraId="66B66E53" w14:textId="77777777" w:rsidR="003440D7" w:rsidRPr="0024364E" w:rsidRDefault="003440D7" w:rsidP="001F1536">
            <w:pPr>
              <w:numPr>
                <w:ilvl w:val="2"/>
                <w:numId w:val="0"/>
              </w:numPr>
              <w:spacing w:after="120"/>
              <w:jc w:val="center"/>
              <w:rPr>
                <w:rFonts w:cs="Arial"/>
                <w:sz w:val="20"/>
                <w:szCs w:val="20"/>
              </w:rPr>
            </w:pPr>
          </w:p>
        </w:tc>
        <w:tc>
          <w:tcPr>
            <w:tcW w:w="709" w:type="dxa"/>
            <w:vMerge/>
            <w:vAlign w:val="center"/>
          </w:tcPr>
          <w:p w14:paraId="7FB35C9C" w14:textId="77777777" w:rsidR="003440D7" w:rsidRPr="0024364E" w:rsidRDefault="003440D7" w:rsidP="001F1536">
            <w:pPr>
              <w:numPr>
                <w:ilvl w:val="2"/>
                <w:numId w:val="0"/>
              </w:numPr>
              <w:spacing w:after="120"/>
              <w:jc w:val="center"/>
              <w:rPr>
                <w:rFonts w:cs="Arial"/>
                <w:sz w:val="20"/>
                <w:szCs w:val="20"/>
              </w:rPr>
            </w:pPr>
          </w:p>
        </w:tc>
      </w:tr>
    </w:tbl>
    <w:p w14:paraId="3164538A" w14:textId="77777777" w:rsidR="003440D7" w:rsidRPr="00044D2B" w:rsidRDefault="003440D7" w:rsidP="003440D7">
      <w:pPr>
        <w:rPr>
          <w:rFonts w:eastAsia="Arial" w:cs="Arial"/>
          <w:b/>
          <w:color w:val="0070C0"/>
          <w:lang w:val="en-US"/>
        </w:rPr>
      </w:pPr>
    </w:p>
    <w:p w14:paraId="70E59904" w14:textId="77777777" w:rsidR="003440D7" w:rsidRPr="00044D2B" w:rsidRDefault="003440D7" w:rsidP="003440D7">
      <w:pPr>
        <w:pStyle w:val="ListParagraph"/>
        <w:widowControl w:val="0"/>
        <w:numPr>
          <w:ilvl w:val="0"/>
          <w:numId w:val="32"/>
        </w:numPr>
        <w:autoSpaceDE w:val="0"/>
        <w:autoSpaceDN w:val="0"/>
        <w:ind w:left="0" w:firstLine="0"/>
        <w:contextualSpacing w:val="0"/>
        <w:rPr>
          <w:b/>
          <w:color w:val="0070C0"/>
        </w:rPr>
      </w:pPr>
      <w:r w:rsidRPr="00044D2B">
        <w:rPr>
          <w:b/>
          <w:color w:val="0070C0"/>
        </w:rPr>
        <w:t>Equality Impact Assessment</w:t>
      </w:r>
    </w:p>
    <w:p w14:paraId="332C1E06" w14:textId="77777777" w:rsidR="003440D7" w:rsidRPr="00044D2B" w:rsidRDefault="003440D7" w:rsidP="003440D7">
      <w:pPr>
        <w:pStyle w:val="ListParagraph"/>
        <w:widowControl w:val="0"/>
        <w:numPr>
          <w:ilvl w:val="1"/>
          <w:numId w:val="32"/>
        </w:numPr>
        <w:autoSpaceDE w:val="0"/>
        <w:autoSpaceDN w:val="0"/>
        <w:contextualSpacing w:val="0"/>
        <w:rPr>
          <w:b/>
          <w:color w:val="0070C0"/>
        </w:rPr>
      </w:pPr>
      <w:r w:rsidRPr="00044D2B">
        <w:rPr>
          <w:b/>
          <w:color w:val="0070C0"/>
        </w:rPr>
        <w:t>Key stakeholders</w:t>
      </w:r>
    </w:p>
    <w:p w14:paraId="3E88917D" w14:textId="77777777" w:rsidR="003440D7" w:rsidRPr="00044D2B" w:rsidRDefault="003440D7" w:rsidP="003440D7">
      <w:pPr>
        <w:contextualSpacing/>
        <w:rPr>
          <w:rFonts w:cs="Arial"/>
        </w:rPr>
      </w:pPr>
      <w:r w:rsidRPr="00044D2B">
        <w:rPr>
          <w:rFonts w:cs="Arial"/>
        </w:rPr>
        <w:t xml:space="preserve">A key principle for completing Equality impact assessment is that they should not be done in isolation. Consultation with affected groups and stakeholders needs to be built in from the start, to enrich the assessment and develop relevant mitigation. Detail here who you have involved with completing this EIA. </w:t>
      </w:r>
    </w:p>
    <w:p w14:paraId="184242ED" w14:textId="77777777" w:rsidR="003440D7" w:rsidRPr="00044D2B" w:rsidRDefault="003440D7" w:rsidP="003440D7">
      <w:pPr>
        <w:contextualSpacing/>
        <w:rPr>
          <w:rFonts w:cs="Arial"/>
        </w:rPr>
      </w:pPr>
    </w:p>
    <w:tbl>
      <w:tblPr>
        <w:tblStyle w:val="GridTable1Light"/>
        <w:tblW w:w="14312" w:type="dxa"/>
        <w:tblLook w:val="0420" w:firstRow="1" w:lastRow="0" w:firstColumn="0" w:lastColumn="0" w:noHBand="0" w:noVBand="1"/>
      </w:tblPr>
      <w:tblGrid>
        <w:gridCol w:w="3823"/>
        <w:gridCol w:w="3685"/>
        <w:gridCol w:w="6804"/>
      </w:tblGrid>
      <w:tr w:rsidR="003440D7" w:rsidRPr="00044D2B" w14:paraId="4E72A469" w14:textId="77777777" w:rsidTr="00065770">
        <w:trPr>
          <w:cnfStyle w:val="100000000000" w:firstRow="1" w:lastRow="0" w:firstColumn="0" w:lastColumn="0" w:oddVBand="0" w:evenVBand="0" w:oddHBand="0" w:evenHBand="0" w:firstRowFirstColumn="0" w:firstRowLastColumn="0" w:lastRowFirstColumn="0" w:lastRowLastColumn="0"/>
        </w:trPr>
        <w:tc>
          <w:tcPr>
            <w:tcW w:w="3823" w:type="dxa"/>
          </w:tcPr>
          <w:p w14:paraId="410E41C2" w14:textId="6B07E33D" w:rsidR="003440D7" w:rsidRPr="00044D2B" w:rsidRDefault="003440D7" w:rsidP="001F1536">
            <w:pPr>
              <w:contextualSpacing/>
              <w:rPr>
                <w:rFonts w:cs="Arial"/>
                <w:b w:val="0"/>
              </w:rPr>
            </w:pPr>
            <w:r w:rsidRPr="00044D2B">
              <w:rPr>
                <w:rFonts w:cs="Arial"/>
                <w:b w:val="0"/>
              </w:rPr>
              <w:t>Name / Group</w:t>
            </w:r>
          </w:p>
        </w:tc>
        <w:tc>
          <w:tcPr>
            <w:tcW w:w="3685" w:type="dxa"/>
          </w:tcPr>
          <w:p w14:paraId="5AFD8A23" w14:textId="77777777" w:rsidR="003440D7" w:rsidRPr="00044D2B" w:rsidRDefault="003440D7" w:rsidP="001F1536">
            <w:pPr>
              <w:contextualSpacing/>
              <w:rPr>
                <w:rFonts w:cs="Arial"/>
                <w:b w:val="0"/>
              </w:rPr>
            </w:pPr>
            <w:r w:rsidRPr="00044D2B">
              <w:rPr>
                <w:rFonts w:cs="Arial"/>
                <w:b w:val="0"/>
              </w:rPr>
              <w:t>Organisation</w:t>
            </w:r>
          </w:p>
        </w:tc>
        <w:tc>
          <w:tcPr>
            <w:tcW w:w="6804" w:type="dxa"/>
          </w:tcPr>
          <w:p w14:paraId="4BA958AD" w14:textId="77777777" w:rsidR="003440D7" w:rsidRPr="00044D2B" w:rsidRDefault="003440D7" w:rsidP="001F1536">
            <w:pPr>
              <w:contextualSpacing/>
              <w:rPr>
                <w:rFonts w:cs="Arial"/>
                <w:b w:val="0"/>
              </w:rPr>
            </w:pPr>
            <w:r w:rsidRPr="00044D2B">
              <w:rPr>
                <w:rFonts w:cs="Arial"/>
                <w:b w:val="0"/>
              </w:rPr>
              <w:t xml:space="preserve">Role on assessment team </w:t>
            </w:r>
          </w:p>
          <w:p w14:paraId="3ABBB745" w14:textId="77777777" w:rsidR="003440D7" w:rsidRPr="00044D2B" w:rsidRDefault="003440D7" w:rsidP="001F1536">
            <w:pPr>
              <w:contextualSpacing/>
              <w:rPr>
                <w:rFonts w:cs="Arial"/>
                <w:b w:val="0"/>
              </w:rPr>
            </w:pPr>
            <w:r w:rsidRPr="00044D2B">
              <w:rPr>
                <w:rFonts w:cs="Arial"/>
                <w:b w:val="0"/>
              </w:rPr>
              <w:t>e.g., service user, manager of service, specialist (which area)</w:t>
            </w:r>
          </w:p>
        </w:tc>
      </w:tr>
      <w:tr w:rsidR="003440D7" w:rsidRPr="00044D2B" w14:paraId="6948DE34" w14:textId="77777777" w:rsidTr="00065770">
        <w:tc>
          <w:tcPr>
            <w:tcW w:w="3823" w:type="dxa"/>
          </w:tcPr>
          <w:p w14:paraId="1F1A41E3" w14:textId="77777777" w:rsidR="003440D7" w:rsidRPr="00044D2B" w:rsidRDefault="003440D7" w:rsidP="001F1536">
            <w:pPr>
              <w:contextualSpacing/>
              <w:rPr>
                <w:rFonts w:cs="Arial"/>
                <w:bCs/>
              </w:rPr>
            </w:pPr>
            <w:r>
              <w:rPr>
                <w:rFonts w:cs="Arial"/>
                <w:bCs/>
              </w:rPr>
              <w:t>Professional Practice Group</w:t>
            </w:r>
          </w:p>
        </w:tc>
        <w:tc>
          <w:tcPr>
            <w:tcW w:w="3685" w:type="dxa"/>
          </w:tcPr>
          <w:p w14:paraId="4D5E70F7" w14:textId="77777777" w:rsidR="003440D7" w:rsidRPr="00044D2B" w:rsidRDefault="003440D7" w:rsidP="001F1536">
            <w:pPr>
              <w:contextualSpacing/>
              <w:rPr>
                <w:rFonts w:cs="Arial"/>
                <w:bCs/>
              </w:rPr>
            </w:pPr>
            <w:r>
              <w:rPr>
                <w:rFonts w:cs="Arial"/>
                <w:bCs/>
              </w:rPr>
              <w:t>SECAmb</w:t>
            </w:r>
          </w:p>
        </w:tc>
        <w:tc>
          <w:tcPr>
            <w:tcW w:w="6804" w:type="dxa"/>
          </w:tcPr>
          <w:p w14:paraId="3B2082DB" w14:textId="77777777" w:rsidR="003440D7" w:rsidRPr="00044D2B" w:rsidRDefault="003440D7" w:rsidP="001F1536">
            <w:pPr>
              <w:contextualSpacing/>
              <w:rPr>
                <w:rFonts w:cs="Arial"/>
                <w:bCs/>
              </w:rPr>
            </w:pPr>
            <w:r>
              <w:rPr>
                <w:rFonts w:cs="Arial"/>
                <w:bCs/>
              </w:rPr>
              <w:t>Clinical governance</w:t>
            </w:r>
          </w:p>
        </w:tc>
      </w:tr>
      <w:tr w:rsidR="003440D7" w:rsidRPr="00044D2B" w14:paraId="5C92DD8C" w14:textId="77777777" w:rsidTr="00065770">
        <w:tc>
          <w:tcPr>
            <w:tcW w:w="3823" w:type="dxa"/>
          </w:tcPr>
          <w:p w14:paraId="2B815825" w14:textId="77777777" w:rsidR="003440D7" w:rsidRPr="00044D2B" w:rsidRDefault="003440D7" w:rsidP="001F1536">
            <w:pPr>
              <w:contextualSpacing/>
              <w:rPr>
                <w:rFonts w:cs="Arial"/>
                <w:bCs/>
              </w:rPr>
            </w:pPr>
            <w:r>
              <w:rPr>
                <w:rFonts w:cs="Arial"/>
                <w:bCs/>
              </w:rPr>
              <w:t>Public Engagement Forum</w:t>
            </w:r>
          </w:p>
        </w:tc>
        <w:tc>
          <w:tcPr>
            <w:tcW w:w="3685" w:type="dxa"/>
          </w:tcPr>
          <w:p w14:paraId="1C1F4275" w14:textId="77777777" w:rsidR="003440D7" w:rsidRPr="00044D2B" w:rsidRDefault="003440D7" w:rsidP="001F1536">
            <w:pPr>
              <w:contextualSpacing/>
              <w:rPr>
                <w:rFonts w:cs="Arial"/>
                <w:bCs/>
              </w:rPr>
            </w:pPr>
            <w:r>
              <w:rPr>
                <w:rFonts w:cs="Arial"/>
                <w:bCs/>
              </w:rPr>
              <w:t>SECAmb</w:t>
            </w:r>
          </w:p>
        </w:tc>
        <w:tc>
          <w:tcPr>
            <w:tcW w:w="6804" w:type="dxa"/>
          </w:tcPr>
          <w:p w14:paraId="76455320" w14:textId="77777777" w:rsidR="003440D7" w:rsidRPr="00044D2B" w:rsidRDefault="003440D7" w:rsidP="001F1536">
            <w:pPr>
              <w:contextualSpacing/>
              <w:rPr>
                <w:rFonts w:cs="Arial"/>
                <w:bCs/>
              </w:rPr>
            </w:pPr>
            <w:r>
              <w:rPr>
                <w:rFonts w:cs="Arial"/>
                <w:bCs/>
              </w:rPr>
              <w:t>Service users / public</w:t>
            </w:r>
          </w:p>
        </w:tc>
      </w:tr>
      <w:tr w:rsidR="003440D7" w:rsidRPr="00044D2B" w14:paraId="215D3D43" w14:textId="77777777" w:rsidTr="00065770">
        <w:tc>
          <w:tcPr>
            <w:tcW w:w="3823" w:type="dxa"/>
          </w:tcPr>
          <w:p w14:paraId="094A257F" w14:textId="77777777" w:rsidR="003440D7" w:rsidRPr="00044D2B" w:rsidRDefault="003440D7" w:rsidP="001F1536">
            <w:pPr>
              <w:contextualSpacing/>
              <w:rPr>
                <w:rFonts w:cs="Arial"/>
                <w:bCs/>
              </w:rPr>
            </w:pPr>
            <w:r>
              <w:rPr>
                <w:rFonts w:cs="Arial"/>
                <w:bCs/>
              </w:rPr>
              <w:t>Strategic Partnerships Team</w:t>
            </w:r>
          </w:p>
        </w:tc>
        <w:tc>
          <w:tcPr>
            <w:tcW w:w="3685" w:type="dxa"/>
          </w:tcPr>
          <w:p w14:paraId="7C8D203F" w14:textId="77777777" w:rsidR="003440D7" w:rsidRPr="00044D2B" w:rsidRDefault="003440D7" w:rsidP="001F1536">
            <w:pPr>
              <w:contextualSpacing/>
              <w:rPr>
                <w:rFonts w:cs="Arial"/>
                <w:bCs/>
              </w:rPr>
            </w:pPr>
            <w:r>
              <w:rPr>
                <w:rFonts w:cs="Arial"/>
                <w:bCs/>
              </w:rPr>
              <w:t>SECAmb</w:t>
            </w:r>
          </w:p>
        </w:tc>
        <w:tc>
          <w:tcPr>
            <w:tcW w:w="6804" w:type="dxa"/>
          </w:tcPr>
          <w:p w14:paraId="4D1B0A0C" w14:textId="77777777" w:rsidR="003440D7" w:rsidRPr="00044D2B" w:rsidRDefault="003440D7" w:rsidP="001F1536">
            <w:pPr>
              <w:contextualSpacing/>
              <w:rPr>
                <w:rFonts w:cs="Arial"/>
                <w:bCs/>
              </w:rPr>
            </w:pPr>
            <w:r>
              <w:rPr>
                <w:rFonts w:cs="Arial"/>
                <w:bCs/>
              </w:rPr>
              <w:t>Healthcare system partners</w:t>
            </w:r>
          </w:p>
        </w:tc>
      </w:tr>
    </w:tbl>
    <w:p w14:paraId="7D1517E0" w14:textId="77777777" w:rsidR="003440D7" w:rsidRPr="00044D2B" w:rsidRDefault="003440D7" w:rsidP="003440D7">
      <w:pPr>
        <w:pStyle w:val="CCGHeader2"/>
        <w:rPr>
          <w:rFonts w:cs="Arial"/>
          <w:color w:val="auto"/>
          <w:sz w:val="22"/>
          <w:lang w:eastAsia="en-GB"/>
        </w:rPr>
      </w:pPr>
    </w:p>
    <w:p w14:paraId="2D41EEAD" w14:textId="77777777" w:rsidR="003440D7" w:rsidRPr="00044D2B" w:rsidRDefault="003440D7" w:rsidP="003440D7">
      <w:pPr>
        <w:pStyle w:val="ListParagraph"/>
        <w:widowControl w:val="0"/>
        <w:numPr>
          <w:ilvl w:val="1"/>
          <w:numId w:val="32"/>
        </w:numPr>
        <w:autoSpaceDE w:val="0"/>
        <w:autoSpaceDN w:val="0"/>
        <w:contextualSpacing w:val="0"/>
        <w:rPr>
          <w:b/>
          <w:color w:val="0070C0"/>
        </w:rPr>
      </w:pPr>
      <w:r w:rsidRPr="00044D2B">
        <w:rPr>
          <w:b/>
          <w:color w:val="0070C0"/>
        </w:rPr>
        <w:t>Who may be positively or negatively affected by this activity?</w:t>
      </w: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2"/>
        <w:gridCol w:w="2840"/>
        <w:gridCol w:w="6095"/>
      </w:tblGrid>
      <w:tr w:rsidR="003440D7" w:rsidRPr="00044D2B" w14:paraId="71E5AA0E" w14:textId="77777777" w:rsidTr="005508D3">
        <w:tc>
          <w:tcPr>
            <w:tcW w:w="5382" w:type="dxa"/>
            <w:gridSpan w:val="2"/>
          </w:tcPr>
          <w:p w14:paraId="556E37E4" w14:textId="77777777" w:rsidR="003440D7" w:rsidRPr="00044D2B" w:rsidRDefault="003440D7" w:rsidP="001F1536">
            <w:pPr>
              <w:spacing w:after="120"/>
              <w:rPr>
                <w:rFonts w:cs="Arial"/>
                <w:b/>
                <w:lang w:eastAsia="en-GB"/>
              </w:rPr>
            </w:pPr>
            <w:r w:rsidRPr="00044D2B">
              <w:rPr>
                <w:rFonts w:cs="Arial"/>
                <w:b/>
                <w:lang w:eastAsia="en-GB"/>
              </w:rPr>
              <w:t>Protected characteristics (Equality Act 2010)</w:t>
            </w:r>
          </w:p>
        </w:tc>
        <w:tc>
          <w:tcPr>
            <w:tcW w:w="8935" w:type="dxa"/>
            <w:gridSpan w:val="2"/>
          </w:tcPr>
          <w:p w14:paraId="006305E4" w14:textId="77777777" w:rsidR="003440D7" w:rsidRPr="00044D2B" w:rsidRDefault="003440D7" w:rsidP="001F1536">
            <w:pPr>
              <w:tabs>
                <w:tab w:val="left" w:pos="3206"/>
              </w:tabs>
              <w:rPr>
                <w:rFonts w:cs="Arial"/>
                <w:b/>
                <w:lang w:eastAsia="en-GB"/>
              </w:rPr>
            </w:pPr>
            <w:r w:rsidRPr="00044D2B">
              <w:rPr>
                <w:rFonts w:cs="Arial"/>
                <w:b/>
                <w:lang w:eastAsia="en-GB"/>
              </w:rPr>
              <w:t>In addition, consider the following vulnerable groups:</w:t>
            </w:r>
          </w:p>
        </w:tc>
      </w:tr>
      <w:tr w:rsidR="003440D7" w:rsidRPr="00044D2B" w14:paraId="4BF5568E" w14:textId="77777777" w:rsidTr="005508D3">
        <w:tc>
          <w:tcPr>
            <w:tcW w:w="4820" w:type="dxa"/>
          </w:tcPr>
          <w:p w14:paraId="12B9DE11" w14:textId="77777777" w:rsidR="003440D7" w:rsidRPr="00044D2B" w:rsidRDefault="003440D7" w:rsidP="001F1536">
            <w:pPr>
              <w:pStyle w:val="CCGAParatext"/>
              <w:spacing w:after="0"/>
              <w:rPr>
                <w:rFonts w:eastAsia="Times New Roman" w:cs="Arial"/>
                <w:sz w:val="22"/>
                <w:lang w:eastAsia="en-GB"/>
              </w:rPr>
            </w:pPr>
            <w:r w:rsidRPr="00044D2B">
              <w:rPr>
                <w:rFonts w:eastAsia="Times New Roman" w:cs="Arial"/>
                <w:sz w:val="22"/>
                <w:lang w:eastAsia="en-GB"/>
              </w:rPr>
              <w:t xml:space="preserve">Age </w:t>
            </w:r>
            <w:sdt>
              <w:sdtPr>
                <w:rPr>
                  <w:rFonts w:eastAsia="Times New Roman" w:cs="Arial"/>
                  <w:sz w:val="22"/>
                  <w:lang w:eastAsia="en-GB"/>
                </w:rPr>
                <w:id w:val="-1595003157"/>
                <w14:checkbox>
                  <w14:checked w14:val="1"/>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7F88E127" w14:textId="77777777" w:rsidR="003440D7" w:rsidRPr="00044D2B" w:rsidRDefault="003440D7" w:rsidP="001F1536">
            <w:pPr>
              <w:pStyle w:val="CCGAParatext"/>
              <w:spacing w:after="0"/>
              <w:rPr>
                <w:rFonts w:eastAsia="Times New Roman" w:cs="Arial"/>
                <w:sz w:val="22"/>
                <w:lang w:eastAsia="en-GB"/>
              </w:rPr>
            </w:pPr>
            <w:r w:rsidRPr="00044D2B">
              <w:rPr>
                <w:rFonts w:eastAsia="Times New Roman" w:cs="Arial"/>
                <w:sz w:val="22"/>
                <w:lang w:eastAsia="en-GB"/>
              </w:rPr>
              <w:t xml:space="preserve">Armed forces </w:t>
            </w:r>
            <w:sdt>
              <w:sdtPr>
                <w:rPr>
                  <w:rFonts w:eastAsia="Times New Roman" w:cs="Arial"/>
                  <w:sz w:val="22"/>
                  <w:lang w:eastAsia="en-GB"/>
                </w:rPr>
                <w:id w:val="1204523388"/>
                <w14:checkbox>
                  <w14:checked w14:val="0"/>
                  <w14:checkedState w14:val="2612" w14:font="MS Gothic"/>
                  <w14:uncheckedState w14:val="2610" w14:font="MS Gothic"/>
                </w14:checkbox>
              </w:sdtPr>
              <w:sdtContent>
                <w:r w:rsidRPr="00044D2B">
                  <w:rPr>
                    <w:rFonts w:ascii="Segoe UI Symbol" w:eastAsia="Times New Roman" w:hAnsi="Segoe UI Symbol" w:cs="Segoe UI Symbol"/>
                    <w:sz w:val="22"/>
                    <w:lang w:eastAsia="en-GB"/>
                  </w:rPr>
                  <w:t>☐</w:t>
                </w:r>
              </w:sdtContent>
            </w:sdt>
          </w:p>
        </w:tc>
        <w:tc>
          <w:tcPr>
            <w:tcW w:w="6095" w:type="dxa"/>
          </w:tcPr>
          <w:p w14:paraId="4132911A" w14:textId="77777777" w:rsidR="003440D7" w:rsidRPr="00044D2B" w:rsidRDefault="003440D7" w:rsidP="001F1536">
            <w:pPr>
              <w:rPr>
                <w:rFonts w:cs="Arial"/>
                <w:lang w:eastAsia="en-GB"/>
              </w:rPr>
            </w:pPr>
            <w:r w:rsidRPr="00044D2B">
              <w:rPr>
                <w:rFonts w:cs="Arial"/>
                <w:lang w:eastAsia="en-GB"/>
              </w:rPr>
              <w:t xml:space="preserve">Socioeconomic disadvantage </w:t>
            </w:r>
            <w:sdt>
              <w:sdtPr>
                <w:rPr>
                  <w:rFonts w:cs="Arial"/>
                  <w:lang w:eastAsia="en-GB"/>
                </w:rPr>
                <w:id w:val="-1460028571"/>
                <w14:checkbox>
                  <w14:checked w14:val="0"/>
                  <w14:checkedState w14:val="2612" w14:font="MS Gothic"/>
                  <w14:uncheckedState w14:val="2610" w14:font="MS Gothic"/>
                </w14:checkbox>
              </w:sdtPr>
              <w:sdtContent>
                <w:r w:rsidRPr="00044D2B">
                  <w:rPr>
                    <w:rFonts w:ascii="Segoe UI Symbol" w:eastAsia="MS Gothic" w:hAnsi="Segoe UI Symbol" w:cs="Segoe UI Symbol"/>
                    <w:lang w:eastAsia="en-GB"/>
                  </w:rPr>
                  <w:t>☐</w:t>
                </w:r>
              </w:sdtContent>
            </w:sdt>
          </w:p>
        </w:tc>
      </w:tr>
      <w:tr w:rsidR="003440D7" w:rsidRPr="00044D2B" w14:paraId="65AF1C49" w14:textId="77777777" w:rsidTr="005508D3">
        <w:tc>
          <w:tcPr>
            <w:tcW w:w="4820" w:type="dxa"/>
          </w:tcPr>
          <w:p w14:paraId="1E0663B3"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Disability </w:t>
            </w:r>
            <w:sdt>
              <w:sdtPr>
                <w:rPr>
                  <w:rFonts w:eastAsia="Times New Roman" w:cs="Arial"/>
                  <w:sz w:val="22"/>
                  <w:lang w:eastAsia="en-GB"/>
                </w:rPr>
                <w:id w:val="253404405"/>
                <w14:checkbox>
                  <w14:checked w14:val="1"/>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762B82E5"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Carers </w:t>
            </w:r>
            <w:sdt>
              <w:sdtPr>
                <w:rPr>
                  <w:rFonts w:eastAsia="Times New Roman" w:cs="Arial"/>
                  <w:sz w:val="22"/>
                  <w:lang w:eastAsia="en-GB"/>
                </w:rPr>
                <w:id w:val="517436703"/>
                <w14:checkbox>
                  <w14:checked w14:val="0"/>
                  <w14:checkedState w14:val="2612" w14:font="MS Gothic"/>
                  <w14:uncheckedState w14:val="2610" w14:font="MS Gothic"/>
                </w14:checkbox>
              </w:sdtPr>
              <w:sdtContent>
                <w:r w:rsidRPr="00044D2B">
                  <w:rPr>
                    <w:rFonts w:ascii="Segoe UI Symbol" w:eastAsia="Times New Roman" w:hAnsi="Segoe UI Symbol" w:cs="Segoe UI Symbol"/>
                    <w:sz w:val="22"/>
                    <w:lang w:eastAsia="en-GB"/>
                  </w:rPr>
                  <w:t>☐</w:t>
                </w:r>
              </w:sdtContent>
            </w:sdt>
          </w:p>
        </w:tc>
        <w:tc>
          <w:tcPr>
            <w:tcW w:w="6095" w:type="dxa"/>
          </w:tcPr>
          <w:p w14:paraId="7E498638" w14:textId="77777777" w:rsidR="003440D7" w:rsidRPr="00044D2B" w:rsidRDefault="003440D7" w:rsidP="001F1536">
            <w:pPr>
              <w:tabs>
                <w:tab w:val="left" w:pos="5971"/>
              </w:tabs>
              <w:rPr>
                <w:rFonts w:cs="Arial"/>
                <w:lang w:eastAsia="en-GB"/>
              </w:rPr>
            </w:pPr>
            <w:r w:rsidRPr="00044D2B">
              <w:rPr>
                <w:rFonts w:cs="Arial"/>
                <w:lang w:eastAsia="en-GB"/>
              </w:rPr>
              <w:t xml:space="preserve">People with addiction or substance misuse problems </w:t>
            </w:r>
            <w:sdt>
              <w:sdtPr>
                <w:rPr>
                  <w:rFonts w:cs="Arial"/>
                  <w:lang w:eastAsia="en-GB"/>
                </w:rPr>
                <w:id w:val="-1932201907"/>
                <w14:checkbox>
                  <w14:checked w14:val="0"/>
                  <w14:checkedState w14:val="2612" w14:font="MS Gothic"/>
                  <w14:uncheckedState w14:val="2610" w14:font="MS Gothic"/>
                </w14:checkbox>
              </w:sdtPr>
              <w:sdtContent>
                <w:r w:rsidRPr="00044D2B">
                  <w:rPr>
                    <w:rFonts w:ascii="Segoe UI Symbol" w:eastAsia="MS Gothic" w:hAnsi="Segoe UI Symbol" w:cs="Segoe UI Symbol"/>
                    <w:lang w:eastAsia="en-GB"/>
                  </w:rPr>
                  <w:t>☐</w:t>
                </w:r>
              </w:sdtContent>
            </w:sdt>
          </w:p>
        </w:tc>
      </w:tr>
      <w:tr w:rsidR="003440D7" w:rsidRPr="00044D2B" w14:paraId="2D32753E" w14:textId="77777777" w:rsidTr="005508D3">
        <w:tc>
          <w:tcPr>
            <w:tcW w:w="4820" w:type="dxa"/>
          </w:tcPr>
          <w:p w14:paraId="09DD05CC"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Race </w:t>
            </w:r>
            <w:sdt>
              <w:sdtPr>
                <w:rPr>
                  <w:rFonts w:eastAsia="Times New Roman" w:cs="Arial"/>
                  <w:sz w:val="22"/>
                  <w:lang w:eastAsia="en-GB"/>
                </w:rPr>
                <w:id w:val="-1431418999"/>
                <w14:checkbox>
                  <w14:checked w14:val="0"/>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7F341E73"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Digital exclusion </w:t>
            </w:r>
            <w:sdt>
              <w:sdtPr>
                <w:rPr>
                  <w:rFonts w:eastAsia="Times New Roman" w:cs="Arial"/>
                  <w:sz w:val="22"/>
                  <w:lang w:eastAsia="en-GB"/>
                </w:rPr>
                <w:id w:val="1565681866"/>
                <w14:checkbox>
                  <w14:checked w14:val="0"/>
                  <w14:checkedState w14:val="2612" w14:font="MS Gothic"/>
                  <w14:uncheckedState w14:val="2610" w14:font="MS Gothic"/>
                </w14:checkbox>
              </w:sdtPr>
              <w:sdtContent>
                <w:r w:rsidRPr="00044D2B">
                  <w:rPr>
                    <w:rFonts w:ascii="Segoe UI Symbol" w:eastAsia="Times New Roman" w:hAnsi="Segoe UI Symbol" w:cs="Segoe UI Symbol"/>
                    <w:sz w:val="22"/>
                    <w:lang w:eastAsia="en-GB"/>
                  </w:rPr>
                  <w:t>☐</w:t>
                </w:r>
              </w:sdtContent>
            </w:sdt>
          </w:p>
        </w:tc>
        <w:tc>
          <w:tcPr>
            <w:tcW w:w="6095" w:type="dxa"/>
          </w:tcPr>
          <w:p w14:paraId="0D811C97" w14:textId="77777777" w:rsidR="003440D7" w:rsidRPr="00044D2B" w:rsidRDefault="003440D7" w:rsidP="001F1536">
            <w:pPr>
              <w:tabs>
                <w:tab w:val="left" w:pos="5971"/>
              </w:tabs>
              <w:rPr>
                <w:rFonts w:cs="Arial"/>
                <w:lang w:eastAsia="en-GB"/>
              </w:rPr>
            </w:pPr>
            <w:r w:rsidRPr="00044D2B">
              <w:rPr>
                <w:rFonts w:cs="Arial"/>
                <w:lang w:eastAsia="en-GB"/>
              </w:rPr>
              <w:t xml:space="preserve">People on probation </w:t>
            </w:r>
            <w:sdt>
              <w:sdtPr>
                <w:rPr>
                  <w:rFonts w:cs="Arial"/>
                  <w:lang w:eastAsia="en-GB"/>
                </w:rPr>
                <w:id w:val="2036536648"/>
                <w14:checkbox>
                  <w14:checked w14:val="0"/>
                  <w14:checkedState w14:val="2612" w14:font="MS Gothic"/>
                  <w14:uncheckedState w14:val="2610" w14:font="MS Gothic"/>
                </w14:checkbox>
              </w:sdtPr>
              <w:sdtContent>
                <w:r w:rsidRPr="00044D2B">
                  <w:rPr>
                    <w:rFonts w:ascii="Segoe UI Symbol" w:eastAsia="MS Gothic" w:hAnsi="Segoe UI Symbol" w:cs="Segoe UI Symbol"/>
                    <w:lang w:eastAsia="en-GB"/>
                  </w:rPr>
                  <w:t>☐</w:t>
                </w:r>
              </w:sdtContent>
            </w:sdt>
          </w:p>
        </w:tc>
      </w:tr>
      <w:tr w:rsidR="003440D7" w:rsidRPr="00044D2B" w14:paraId="3054C47B" w14:textId="77777777" w:rsidTr="005508D3">
        <w:tc>
          <w:tcPr>
            <w:tcW w:w="4820" w:type="dxa"/>
          </w:tcPr>
          <w:p w14:paraId="03C8A1B2"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Gender reassignment </w:t>
            </w:r>
            <w:sdt>
              <w:sdtPr>
                <w:rPr>
                  <w:rFonts w:eastAsia="Times New Roman" w:cs="Arial"/>
                  <w:sz w:val="22"/>
                  <w:lang w:eastAsia="en-GB"/>
                </w:rPr>
                <w:id w:val="-1195461807"/>
                <w14:checkbox>
                  <w14:checked w14:val="0"/>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42EFD8CB"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Domestic abuse </w:t>
            </w:r>
            <w:sdt>
              <w:sdtPr>
                <w:rPr>
                  <w:rFonts w:eastAsia="Times New Roman" w:cs="Arial"/>
                  <w:sz w:val="22"/>
                  <w:lang w:eastAsia="en-GB"/>
                </w:rPr>
                <w:id w:val="1598371442"/>
                <w14:checkbox>
                  <w14:checked w14:val="0"/>
                  <w14:checkedState w14:val="2612" w14:font="MS Gothic"/>
                  <w14:uncheckedState w14:val="2610" w14:font="MS Gothic"/>
                </w14:checkbox>
              </w:sdtPr>
              <w:sdtContent>
                <w:r w:rsidRPr="00044D2B">
                  <w:rPr>
                    <w:rFonts w:ascii="Segoe UI Symbol" w:eastAsia="MS Gothic" w:hAnsi="Segoe UI Symbol" w:cs="Segoe UI Symbol"/>
                    <w:sz w:val="22"/>
                    <w:lang w:eastAsia="en-GB"/>
                  </w:rPr>
                  <w:t>☐</w:t>
                </w:r>
              </w:sdtContent>
            </w:sdt>
          </w:p>
        </w:tc>
        <w:tc>
          <w:tcPr>
            <w:tcW w:w="6095" w:type="dxa"/>
          </w:tcPr>
          <w:p w14:paraId="065CC741" w14:textId="77777777" w:rsidR="003440D7" w:rsidRPr="00044D2B" w:rsidRDefault="003440D7" w:rsidP="001F1536">
            <w:pPr>
              <w:tabs>
                <w:tab w:val="left" w:pos="5971"/>
              </w:tabs>
              <w:rPr>
                <w:rFonts w:cs="Arial"/>
                <w:lang w:eastAsia="en-GB"/>
              </w:rPr>
            </w:pPr>
            <w:r w:rsidRPr="00044D2B">
              <w:rPr>
                <w:rFonts w:cs="Arial"/>
                <w:lang w:eastAsia="en-GB"/>
              </w:rPr>
              <w:t xml:space="preserve">Prison population </w:t>
            </w:r>
            <w:sdt>
              <w:sdtPr>
                <w:rPr>
                  <w:rFonts w:cs="Arial"/>
                  <w:lang w:eastAsia="en-GB"/>
                </w:rPr>
                <w:id w:val="1897009158"/>
                <w14:checkbox>
                  <w14:checked w14:val="0"/>
                  <w14:checkedState w14:val="2612" w14:font="MS Gothic"/>
                  <w14:uncheckedState w14:val="2610" w14:font="MS Gothic"/>
                </w14:checkbox>
              </w:sdtPr>
              <w:sdtContent>
                <w:r w:rsidRPr="00044D2B">
                  <w:rPr>
                    <w:rFonts w:ascii="Segoe UI Symbol" w:eastAsia="MS Gothic" w:hAnsi="Segoe UI Symbol" w:cs="Segoe UI Symbol"/>
                    <w:lang w:eastAsia="en-GB"/>
                  </w:rPr>
                  <w:t>☐</w:t>
                </w:r>
              </w:sdtContent>
            </w:sdt>
          </w:p>
        </w:tc>
      </w:tr>
      <w:tr w:rsidR="003440D7" w:rsidRPr="00044D2B" w14:paraId="49ED57CD" w14:textId="77777777" w:rsidTr="005508D3">
        <w:tc>
          <w:tcPr>
            <w:tcW w:w="4820" w:type="dxa"/>
          </w:tcPr>
          <w:p w14:paraId="3F02818B"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Marriage &amp; civil partnership </w:t>
            </w:r>
            <w:sdt>
              <w:sdtPr>
                <w:rPr>
                  <w:rFonts w:eastAsia="Times New Roman" w:cs="Arial"/>
                  <w:sz w:val="22"/>
                  <w:lang w:eastAsia="en-GB"/>
                </w:rPr>
                <w:id w:val="-1925869191"/>
                <w14:checkbox>
                  <w14:checked w14:val="0"/>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5E3089AF"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Education (literacy) areas </w:t>
            </w:r>
            <w:sdt>
              <w:sdtPr>
                <w:rPr>
                  <w:rFonts w:eastAsia="Times New Roman" w:cs="Arial"/>
                  <w:sz w:val="22"/>
                  <w:lang w:eastAsia="en-GB"/>
                </w:rPr>
                <w:id w:val="-217120672"/>
                <w14:checkbox>
                  <w14:checked w14:val="0"/>
                  <w14:checkedState w14:val="2612" w14:font="MS Gothic"/>
                  <w14:uncheckedState w14:val="2610" w14:font="MS Gothic"/>
                </w14:checkbox>
              </w:sdtPr>
              <w:sdtContent>
                <w:r w:rsidRPr="00044D2B">
                  <w:rPr>
                    <w:rFonts w:ascii="Segoe UI Symbol" w:eastAsia="MS Gothic" w:hAnsi="Segoe UI Symbol" w:cs="Segoe UI Symbol"/>
                    <w:sz w:val="22"/>
                    <w:lang w:eastAsia="en-GB"/>
                  </w:rPr>
                  <w:t>☐</w:t>
                </w:r>
              </w:sdtContent>
            </w:sdt>
          </w:p>
        </w:tc>
        <w:tc>
          <w:tcPr>
            <w:tcW w:w="6095" w:type="dxa"/>
          </w:tcPr>
          <w:p w14:paraId="071EF6C3" w14:textId="77777777" w:rsidR="003440D7" w:rsidRPr="00044D2B" w:rsidRDefault="003440D7" w:rsidP="001F1536">
            <w:pPr>
              <w:tabs>
                <w:tab w:val="left" w:pos="5971"/>
              </w:tabs>
              <w:rPr>
                <w:rFonts w:cs="Arial"/>
                <w:lang w:eastAsia="en-GB"/>
              </w:rPr>
            </w:pPr>
            <w:r w:rsidRPr="00044D2B">
              <w:rPr>
                <w:rFonts w:cs="Arial"/>
                <w:lang w:eastAsia="en-GB"/>
              </w:rPr>
              <w:t xml:space="preserve">Undocumented migrant, refugees, asylum seekers </w:t>
            </w:r>
            <w:sdt>
              <w:sdtPr>
                <w:rPr>
                  <w:rFonts w:cs="Arial"/>
                  <w:lang w:eastAsia="en-GB"/>
                </w:rPr>
                <w:id w:val="1728412059"/>
                <w14:checkbox>
                  <w14:checked w14:val="0"/>
                  <w14:checkedState w14:val="2612" w14:font="MS Gothic"/>
                  <w14:uncheckedState w14:val="2610" w14:font="MS Gothic"/>
                </w14:checkbox>
              </w:sdtPr>
              <w:sdtContent>
                <w:r w:rsidRPr="00044D2B">
                  <w:rPr>
                    <w:rFonts w:ascii="Segoe UI Symbol" w:eastAsia="MS Gothic" w:hAnsi="Segoe UI Symbol" w:cs="Segoe UI Symbol"/>
                    <w:lang w:eastAsia="en-GB"/>
                  </w:rPr>
                  <w:t>☐</w:t>
                </w:r>
              </w:sdtContent>
            </w:sdt>
          </w:p>
        </w:tc>
      </w:tr>
      <w:tr w:rsidR="003440D7" w:rsidRPr="00044D2B" w14:paraId="27AC003F" w14:textId="77777777" w:rsidTr="005508D3">
        <w:tc>
          <w:tcPr>
            <w:tcW w:w="4820" w:type="dxa"/>
          </w:tcPr>
          <w:p w14:paraId="314E3FD2"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Pregnancy &amp; maternity </w:t>
            </w:r>
            <w:sdt>
              <w:sdtPr>
                <w:rPr>
                  <w:rFonts w:eastAsia="Times New Roman" w:cs="Arial"/>
                  <w:sz w:val="22"/>
                  <w:lang w:eastAsia="en-GB"/>
                </w:rPr>
                <w:id w:val="459079851"/>
                <w14:checkbox>
                  <w14:checked w14:val="0"/>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21F327CB"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Homeless </w:t>
            </w:r>
            <w:sdt>
              <w:sdtPr>
                <w:rPr>
                  <w:rFonts w:eastAsia="Times New Roman" w:cs="Arial"/>
                  <w:sz w:val="22"/>
                  <w:lang w:eastAsia="en-GB"/>
                </w:rPr>
                <w:id w:val="-1202243420"/>
                <w14:checkbox>
                  <w14:checked w14:val="0"/>
                  <w14:checkedState w14:val="2612" w14:font="MS Gothic"/>
                  <w14:uncheckedState w14:val="2610" w14:font="MS Gothic"/>
                </w14:checkbox>
              </w:sdtPr>
              <w:sdtContent>
                <w:r w:rsidRPr="00044D2B">
                  <w:rPr>
                    <w:rFonts w:ascii="Segoe UI Symbol" w:eastAsia="MS Gothic" w:hAnsi="Segoe UI Symbol" w:cs="Segoe UI Symbol"/>
                    <w:sz w:val="22"/>
                    <w:lang w:eastAsia="en-GB"/>
                  </w:rPr>
                  <w:t>☐</w:t>
                </w:r>
              </w:sdtContent>
            </w:sdt>
          </w:p>
        </w:tc>
        <w:tc>
          <w:tcPr>
            <w:tcW w:w="6095" w:type="dxa"/>
          </w:tcPr>
          <w:p w14:paraId="084A5BAF" w14:textId="77777777" w:rsidR="003440D7" w:rsidRPr="00044D2B" w:rsidRDefault="003440D7" w:rsidP="001F1536">
            <w:pPr>
              <w:tabs>
                <w:tab w:val="left" w:pos="5971"/>
              </w:tabs>
              <w:rPr>
                <w:rFonts w:cs="Arial"/>
                <w:lang w:eastAsia="en-GB"/>
              </w:rPr>
            </w:pPr>
            <w:r w:rsidRPr="00044D2B">
              <w:rPr>
                <w:rFonts w:cs="Arial"/>
                <w:lang w:eastAsia="en-GB"/>
              </w:rPr>
              <w:t xml:space="preserve">Sex workers </w:t>
            </w:r>
            <w:sdt>
              <w:sdtPr>
                <w:rPr>
                  <w:rFonts w:cs="Arial"/>
                  <w:lang w:eastAsia="en-GB"/>
                </w:rPr>
                <w:id w:val="-819812002"/>
                <w14:checkbox>
                  <w14:checked w14:val="0"/>
                  <w14:checkedState w14:val="2612" w14:font="MS Gothic"/>
                  <w14:uncheckedState w14:val="2610" w14:font="MS Gothic"/>
                </w14:checkbox>
              </w:sdtPr>
              <w:sdtContent>
                <w:r w:rsidRPr="00044D2B">
                  <w:rPr>
                    <w:rFonts w:ascii="Segoe UI Symbol" w:eastAsia="MS Gothic" w:hAnsi="Segoe UI Symbol" w:cs="Segoe UI Symbol"/>
                    <w:lang w:eastAsia="en-GB"/>
                  </w:rPr>
                  <w:t>☐</w:t>
                </w:r>
              </w:sdtContent>
            </w:sdt>
          </w:p>
        </w:tc>
      </w:tr>
      <w:tr w:rsidR="003440D7" w:rsidRPr="00044D2B" w14:paraId="69756CF9" w14:textId="77777777" w:rsidTr="005508D3">
        <w:tc>
          <w:tcPr>
            <w:tcW w:w="4820" w:type="dxa"/>
          </w:tcPr>
          <w:p w14:paraId="0C924928"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Religion &amp; beliefs (including no belief) </w:t>
            </w:r>
            <w:sdt>
              <w:sdtPr>
                <w:rPr>
                  <w:rFonts w:eastAsia="Times New Roman" w:cs="Arial"/>
                  <w:sz w:val="22"/>
                  <w:lang w:eastAsia="en-GB"/>
                </w:rPr>
                <w:id w:val="-532038367"/>
                <w14:checkbox>
                  <w14:checked w14:val="0"/>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630D35F5"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Looked after children </w:t>
            </w:r>
            <w:sdt>
              <w:sdtPr>
                <w:rPr>
                  <w:rFonts w:eastAsia="Times New Roman" w:cs="Arial"/>
                  <w:sz w:val="22"/>
                  <w:lang w:eastAsia="en-GB"/>
                </w:rPr>
                <w:id w:val="711545865"/>
                <w14:checkbox>
                  <w14:checked w14:val="0"/>
                  <w14:checkedState w14:val="2612" w14:font="MS Gothic"/>
                  <w14:uncheckedState w14:val="2610" w14:font="MS Gothic"/>
                </w14:checkbox>
              </w:sdtPr>
              <w:sdtContent>
                <w:r w:rsidRPr="00044D2B">
                  <w:rPr>
                    <w:rFonts w:ascii="Segoe UI Symbol" w:eastAsia="Times New Roman" w:hAnsi="Segoe UI Symbol" w:cs="Segoe UI Symbol"/>
                    <w:sz w:val="22"/>
                    <w:lang w:eastAsia="en-GB"/>
                  </w:rPr>
                  <w:t>☐</w:t>
                </w:r>
              </w:sdtContent>
            </w:sdt>
          </w:p>
        </w:tc>
        <w:tc>
          <w:tcPr>
            <w:tcW w:w="6095" w:type="dxa"/>
          </w:tcPr>
          <w:p w14:paraId="0CDBDB36"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Other (please specify below) </w:t>
            </w:r>
            <w:sdt>
              <w:sdtPr>
                <w:rPr>
                  <w:rFonts w:eastAsia="Times New Roman" w:cs="Arial"/>
                  <w:sz w:val="22"/>
                  <w:lang w:eastAsia="en-GB"/>
                </w:rPr>
                <w:id w:val="1878667050"/>
                <w14:checkbox>
                  <w14:checked w14:val="0"/>
                  <w14:checkedState w14:val="2612" w14:font="MS Gothic"/>
                  <w14:uncheckedState w14:val="2610" w14:font="MS Gothic"/>
                </w14:checkbox>
              </w:sdtPr>
              <w:sdtContent>
                <w:r w:rsidRPr="00044D2B">
                  <w:rPr>
                    <w:rFonts w:ascii="Segoe UI Symbol" w:eastAsia="MS Gothic" w:hAnsi="Segoe UI Symbol" w:cs="Segoe UI Symbol"/>
                    <w:sz w:val="22"/>
                    <w:lang w:eastAsia="en-GB"/>
                  </w:rPr>
                  <w:t>☐</w:t>
                </w:r>
              </w:sdtContent>
            </w:sdt>
          </w:p>
        </w:tc>
      </w:tr>
      <w:tr w:rsidR="003440D7" w:rsidRPr="00044D2B" w14:paraId="05B68548" w14:textId="77777777" w:rsidTr="00065770">
        <w:tc>
          <w:tcPr>
            <w:tcW w:w="4820" w:type="dxa"/>
          </w:tcPr>
          <w:p w14:paraId="58E27BCD"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Sex (male or female) </w:t>
            </w:r>
            <w:sdt>
              <w:sdtPr>
                <w:rPr>
                  <w:rFonts w:eastAsia="Times New Roman" w:cs="Arial"/>
                  <w:sz w:val="22"/>
                  <w:lang w:eastAsia="en-GB"/>
                </w:rPr>
                <w:id w:val="-73123995"/>
                <w14:checkbox>
                  <w14:checked w14:val="0"/>
                  <w14:checkedState w14:val="2612" w14:font="MS Gothic"/>
                  <w14:uncheckedState w14:val="2610" w14:font="MS Gothic"/>
                </w14:checkbox>
              </w:sdtPr>
              <w:sdtContent>
                <w:r>
                  <w:rPr>
                    <w:rFonts w:ascii="MS Gothic" w:eastAsia="MS Gothic" w:hAnsi="MS Gothic" w:cs="Arial" w:hint="eastAsia"/>
                    <w:sz w:val="22"/>
                    <w:lang w:eastAsia="en-GB"/>
                  </w:rPr>
                  <w:t>☐</w:t>
                </w:r>
              </w:sdtContent>
            </w:sdt>
          </w:p>
        </w:tc>
        <w:tc>
          <w:tcPr>
            <w:tcW w:w="3402" w:type="dxa"/>
            <w:gridSpan w:val="2"/>
          </w:tcPr>
          <w:p w14:paraId="03B43E2B"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Rural areas </w:t>
            </w:r>
            <w:sdt>
              <w:sdtPr>
                <w:rPr>
                  <w:rFonts w:eastAsia="Times New Roman" w:cs="Arial"/>
                  <w:sz w:val="22"/>
                  <w:lang w:eastAsia="en-GB"/>
                </w:rPr>
                <w:id w:val="1094667784"/>
                <w14:checkbox>
                  <w14:checked w14:val="0"/>
                  <w14:checkedState w14:val="2612" w14:font="MS Gothic"/>
                  <w14:uncheckedState w14:val="2610" w14:font="MS Gothic"/>
                </w14:checkbox>
              </w:sdtPr>
              <w:sdtContent>
                <w:r w:rsidRPr="00044D2B">
                  <w:rPr>
                    <w:rFonts w:ascii="Segoe UI Symbol" w:eastAsia="MS Gothic" w:hAnsi="Segoe UI Symbol" w:cs="Segoe UI Symbol"/>
                    <w:sz w:val="22"/>
                    <w:lang w:eastAsia="en-GB"/>
                  </w:rPr>
                  <w:t>☐</w:t>
                </w:r>
              </w:sdtContent>
            </w:sdt>
          </w:p>
        </w:tc>
        <w:tc>
          <w:tcPr>
            <w:tcW w:w="6095" w:type="dxa"/>
          </w:tcPr>
          <w:p w14:paraId="34C1B12B" w14:textId="77777777" w:rsidR="003440D7" w:rsidRPr="00044D2B" w:rsidRDefault="003440D7" w:rsidP="001F1536">
            <w:pPr>
              <w:pStyle w:val="CCGAParatext"/>
              <w:spacing w:after="0"/>
              <w:rPr>
                <w:rFonts w:cs="Arial"/>
                <w:sz w:val="22"/>
                <w:lang w:eastAsia="en-GB"/>
              </w:rPr>
            </w:pPr>
          </w:p>
        </w:tc>
      </w:tr>
      <w:tr w:rsidR="003440D7" w:rsidRPr="00044D2B" w14:paraId="7AA6E291" w14:textId="77777777" w:rsidTr="00065770">
        <w:tc>
          <w:tcPr>
            <w:tcW w:w="4820" w:type="dxa"/>
          </w:tcPr>
          <w:p w14:paraId="4623D9A5" w14:textId="77777777" w:rsidR="003440D7" w:rsidRPr="00044D2B" w:rsidRDefault="003440D7" w:rsidP="001F1536">
            <w:pPr>
              <w:rPr>
                <w:rFonts w:cs="Arial"/>
                <w:lang w:eastAsia="en-GB"/>
              </w:rPr>
            </w:pPr>
            <w:r w:rsidRPr="00044D2B">
              <w:rPr>
                <w:rFonts w:cs="Arial"/>
                <w:lang w:eastAsia="en-GB"/>
              </w:rPr>
              <w:t xml:space="preserve">Sexual orientation </w:t>
            </w:r>
            <w:sdt>
              <w:sdtPr>
                <w:rPr>
                  <w:rFonts w:cs="Arial"/>
                  <w:lang w:eastAsia="en-GB"/>
                </w:rPr>
                <w:id w:val="89223272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3402" w:type="dxa"/>
            <w:gridSpan w:val="2"/>
          </w:tcPr>
          <w:p w14:paraId="68617B83" w14:textId="77777777" w:rsidR="003440D7" w:rsidRPr="00044D2B" w:rsidRDefault="003440D7" w:rsidP="001F1536">
            <w:pPr>
              <w:pStyle w:val="CCGAParatext"/>
              <w:spacing w:after="0"/>
              <w:rPr>
                <w:rFonts w:cs="Arial"/>
                <w:sz w:val="22"/>
                <w:lang w:eastAsia="en-GB"/>
              </w:rPr>
            </w:pPr>
            <w:r w:rsidRPr="00044D2B">
              <w:rPr>
                <w:rFonts w:eastAsia="Times New Roman" w:cs="Arial"/>
                <w:sz w:val="22"/>
                <w:lang w:eastAsia="en-GB"/>
              </w:rPr>
              <w:t xml:space="preserve">Urban areas </w:t>
            </w:r>
            <w:sdt>
              <w:sdtPr>
                <w:rPr>
                  <w:rFonts w:eastAsia="Times New Roman" w:cs="Arial"/>
                  <w:sz w:val="22"/>
                  <w:lang w:eastAsia="en-GB"/>
                </w:rPr>
                <w:id w:val="1347907434"/>
                <w14:checkbox>
                  <w14:checked w14:val="0"/>
                  <w14:checkedState w14:val="2612" w14:font="MS Gothic"/>
                  <w14:uncheckedState w14:val="2610" w14:font="MS Gothic"/>
                </w14:checkbox>
              </w:sdtPr>
              <w:sdtContent>
                <w:r w:rsidRPr="00044D2B">
                  <w:rPr>
                    <w:rFonts w:ascii="Segoe UI Symbol" w:eastAsia="MS Gothic" w:hAnsi="Segoe UI Symbol" w:cs="Segoe UI Symbol"/>
                    <w:sz w:val="22"/>
                    <w:lang w:eastAsia="en-GB"/>
                  </w:rPr>
                  <w:t>☐</w:t>
                </w:r>
              </w:sdtContent>
            </w:sdt>
          </w:p>
        </w:tc>
        <w:tc>
          <w:tcPr>
            <w:tcW w:w="6095" w:type="dxa"/>
          </w:tcPr>
          <w:p w14:paraId="7ECC31FE" w14:textId="77777777" w:rsidR="003440D7" w:rsidRPr="00044D2B" w:rsidRDefault="003440D7" w:rsidP="001F1536">
            <w:pPr>
              <w:pStyle w:val="CCGAParatext"/>
              <w:spacing w:after="0"/>
              <w:rPr>
                <w:rFonts w:cs="Arial"/>
                <w:sz w:val="22"/>
                <w:lang w:eastAsia="en-GB"/>
              </w:rPr>
            </w:pPr>
          </w:p>
        </w:tc>
      </w:tr>
    </w:tbl>
    <w:p w14:paraId="763A045A" w14:textId="77777777" w:rsidR="003440D7" w:rsidRDefault="003440D7" w:rsidP="003440D7">
      <w:pPr>
        <w:pStyle w:val="CCGAParatext"/>
        <w:rPr>
          <w:rFonts w:cs="Arial"/>
          <w:sz w:val="22"/>
          <w:lang w:eastAsia="en-GB"/>
        </w:rPr>
      </w:pPr>
    </w:p>
    <w:p w14:paraId="2AC5EE0D" w14:textId="77777777" w:rsidR="003440D7" w:rsidRPr="00FC31FC" w:rsidRDefault="003440D7" w:rsidP="003440D7">
      <w:pPr>
        <w:pStyle w:val="ListParagraph"/>
        <w:widowControl w:val="0"/>
        <w:numPr>
          <w:ilvl w:val="1"/>
          <w:numId w:val="32"/>
        </w:numPr>
        <w:autoSpaceDE w:val="0"/>
        <w:autoSpaceDN w:val="0"/>
        <w:contextualSpacing w:val="0"/>
        <w:rPr>
          <w:color w:val="0070C0"/>
        </w:rPr>
      </w:pPr>
      <w:r w:rsidRPr="00FC31FC">
        <w:rPr>
          <w:color w:val="0070C0"/>
        </w:rPr>
        <w:t xml:space="preserve"> </w:t>
      </w:r>
      <w:r w:rsidRPr="00FC31FC">
        <w:rPr>
          <w:b/>
          <w:bCs/>
          <w:color w:val="0070C0"/>
        </w:rPr>
        <w:t>Assessment outcomes</w:t>
      </w:r>
      <w:r w:rsidRPr="00FC31FC">
        <w:rPr>
          <w:color w:val="0070C0"/>
        </w:rPr>
        <w:t xml:space="preserve"> – discussion undertaken between </w:t>
      </w:r>
      <w:sdt>
        <w:sdtPr>
          <w:rPr>
            <w:color w:val="0070C0"/>
          </w:rPr>
          <w:id w:val="948349915"/>
          <w:placeholder>
            <w:docPart w:val="183C40D05AD31248B92E0A3E78F6C430"/>
          </w:placeholder>
          <w:showingPlcHdr/>
          <w:date>
            <w:dateFormat w:val="dd/MM/yyyy"/>
            <w:lid w:val="en-GB"/>
            <w:storeMappedDataAs w:val="dateTime"/>
            <w:calendar w:val="gregorian"/>
          </w:date>
        </w:sdtPr>
        <w:sdtContent>
          <w:r w:rsidRPr="00FC31FC">
            <w:rPr>
              <w:color w:val="0070C0"/>
            </w:rPr>
            <w:t>Click or tap to enter a date.</w:t>
          </w:r>
        </w:sdtContent>
      </w:sdt>
      <w:r w:rsidRPr="00FC31FC">
        <w:rPr>
          <w:color w:val="0070C0"/>
        </w:rPr>
        <w:t xml:space="preserve"> and </w:t>
      </w:r>
      <w:sdt>
        <w:sdtPr>
          <w:rPr>
            <w:color w:val="0070C0"/>
          </w:rPr>
          <w:id w:val="1430858187"/>
          <w:placeholder>
            <w:docPart w:val="183C40D05AD31248B92E0A3E78F6C430"/>
          </w:placeholder>
          <w:showingPlcHdr/>
          <w:date>
            <w:dateFormat w:val="dd/MM/yyyy"/>
            <w:lid w:val="en-GB"/>
            <w:storeMappedDataAs w:val="dateTime"/>
            <w:calendar w:val="gregorian"/>
          </w:date>
        </w:sdtPr>
        <w:sdtContent>
          <w:r w:rsidRPr="00FC31FC">
            <w:rPr>
              <w:color w:val="0070C0"/>
            </w:rPr>
            <w:t>Click or tap to enter a date.</w:t>
          </w:r>
        </w:sdtContent>
      </w:sdt>
    </w:p>
    <w:tbl>
      <w:tblPr>
        <w:tblStyle w:val="GridTable1Light"/>
        <w:tblW w:w="14454" w:type="dxa"/>
        <w:tblLook w:val="04A0" w:firstRow="1" w:lastRow="0" w:firstColumn="1" w:lastColumn="0" w:noHBand="0" w:noVBand="1"/>
      </w:tblPr>
      <w:tblGrid>
        <w:gridCol w:w="3397"/>
        <w:gridCol w:w="5954"/>
        <w:gridCol w:w="5103"/>
      </w:tblGrid>
      <w:tr w:rsidR="003440D7" w:rsidRPr="00982781" w14:paraId="5706DCA7" w14:textId="77777777" w:rsidTr="00065770">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397" w:type="dxa"/>
            <w:shd w:val="clear" w:color="auto" w:fill="FFFF00"/>
          </w:tcPr>
          <w:p w14:paraId="064A3E38" w14:textId="77777777" w:rsidR="003440D7" w:rsidRPr="00982781" w:rsidRDefault="003440D7" w:rsidP="001F1536">
            <w:pPr>
              <w:spacing w:after="120"/>
              <w:rPr>
                <w:rFonts w:cs="Arial"/>
                <w:b w:val="0"/>
                <w:bCs w:val="0"/>
              </w:rPr>
            </w:pPr>
            <w:r w:rsidRPr="00982781">
              <w:rPr>
                <w:rFonts w:cs="Arial"/>
                <w:b w:val="0"/>
                <w:bCs w:val="0"/>
              </w:rPr>
              <w:t>Protected equality characteristic</w:t>
            </w:r>
          </w:p>
        </w:tc>
        <w:tc>
          <w:tcPr>
            <w:tcW w:w="5954" w:type="dxa"/>
            <w:shd w:val="clear" w:color="auto" w:fill="F2F2F2" w:themeFill="background1" w:themeFillShade="F2"/>
          </w:tcPr>
          <w:p w14:paraId="6941A77C" w14:textId="77777777" w:rsidR="003440D7" w:rsidRPr="00982781" w:rsidRDefault="003440D7" w:rsidP="001F1536">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982781">
              <w:rPr>
                <w:rFonts w:cs="Arial"/>
                <w:b w:val="0"/>
                <w:bCs w:val="0"/>
              </w:rPr>
              <w:t>Describe here the considerations and concerns in relation to the programme/policy for the selected groups. These may be positive, negative or neutral if there is no impact.</w:t>
            </w:r>
          </w:p>
        </w:tc>
        <w:tc>
          <w:tcPr>
            <w:tcW w:w="5103" w:type="dxa"/>
            <w:shd w:val="clear" w:color="auto" w:fill="F2F2F2" w:themeFill="background1" w:themeFillShade="F2"/>
          </w:tcPr>
          <w:p w14:paraId="16C32248" w14:textId="77777777" w:rsidR="003440D7" w:rsidRPr="00982781" w:rsidRDefault="003440D7" w:rsidP="001F1536">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982781">
              <w:rPr>
                <w:rFonts w:cs="Arial"/>
                <w:b w:val="0"/>
                <w:bCs w:val="0"/>
              </w:rPr>
              <w:t>If you have identified any negative impacts, describe here suggested mitigations to inform the actions needed to reduce inequalities.</w:t>
            </w:r>
          </w:p>
        </w:tc>
      </w:tr>
      <w:tr w:rsidR="003440D7" w:rsidRPr="00982781" w14:paraId="1F04E5AE" w14:textId="77777777" w:rsidTr="00065770">
        <w:trPr>
          <w:trHeight w:val="552"/>
        </w:trPr>
        <w:tc>
          <w:tcPr>
            <w:cnfStyle w:val="001000000000" w:firstRow="0" w:lastRow="0" w:firstColumn="1" w:lastColumn="0" w:oddVBand="0" w:evenVBand="0" w:oddHBand="0" w:evenHBand="0" w:firstRowFirstColumn="0" w:firstRowLastColumn="0" w:lastRowFirstColumn="0" w:lastRowLastColumn="0"/>
            <w:tcW w:w="3397" w:type="dxa"/>
          </w:tcPr>
          <w:p w14:paraId="3D4BCADC" w14:textId="77777777" w:rsidR="003440D7" w:rsidRPr="00982781" w:rsidRDefault="003440D7" w:rsidP="001F1536">
            <w:pPr>
              <w:spacing w:after="120" w:line="252" w:lineRule="auto"/>
              <w:contextualSpacing/>
              <w:rPr>
                <w:rFonts w:cs="Arial"/>
                <w:b w:val="0"/>
                <w:bCs w:val="0"/>
              </w:rPr>
            </w:pPr>
            <w:r w:rsidRPr="00982781">
              <w:rPr>
                <w:rFonts w:cs="Arial"/>
                <w:b w:val="0"/>
                <w:bCs w:val="0"/>
              </w:rPr>
              <w:t>Age</w:t>
            </w:r>
          </w:p>
        </w:tc>
        <w:tc>
          <w:tcPr>
            <w:tcW w:w="5954" w:type="dxa"/>
          </w:tcPr>
          <w:p w14:paraId="1FB22BBF"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As age increases, so does the risk of falling and the potential consequences of long lies. This policy and procedure aims to reduce the likelihood and impact of long lie falls, thereby improving patient safety for this cohort of patients.</w:t>
            </w:r>
          </w:p>
        </w:tc>
        <w:tc>
          <w:tcPr>
            <w:tcW w:w="5103" w:type="dxa"/>
          </w:tcPr>
          <w:p w14:paraId="1144FF5A"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3440D7" w:rsidRPr="00982781" w14:paraId="64EB35C2" w14:textId="77777777" w:rsidTr="00065770">
        <w:trPr>
          <w:trHeight w:val="553"/>
        </w:trPr>
        <w:tc>
          <w:tcPr>
            <w:cnfStyle w:val="001000000000" w:firstRow="0" w:lastRow="0" w:firstColumn="1" w:lastColumn="0" w:oddVBand="0" w:evenVBand="0" w:oddHBand="0" w:evenHBand="0" w:firstRowFirstColumn="0" w:firstRowLastColumn="0" w:lastRowFirstColumn="0" w:lastRowLastColumn="0"/>
            <w:tcW w:w="3397" w:type="dxa"/>
          </w:tcPr>
          <w:p w14:paraId="19EC10B7" w14:textId="77777777" w:rsidR="003440D7" w:rsidRPr="00982781" w:rsidRDefault="003440D7" w:rsidP="001F1536">
            <w:pPr>
              <w:spacing w:after="120" w:line="252" w:lineRule="auto"/>
              <w:contextualSpacing/>
              <w:rPr>
                <w:rFonts w:cs="Arial"/>
                <w:b w:val="0"/>
                <w:bCs w:val="0"/>
              </w:rPr>
            </w:pPr>
            <w:r w:rsidRPr="00982781">
              <w:rPr>
                <w:rFonts w:cs="Arial"/>
                <w:b w:val="0"/>
                <w:bCs w:val="0"/>
              </w:rPr>
              <w:t>Disability</w:t>
            </w:r>
          </w:p>
        </w:tc>
        <w:tc>
          <w:tcPr>
            <w:tcW w:w="5954" w:type="dxa"/>
          </w:tcPr>
          <w:p w14:paraId="104A016B"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Where disability leads to an increased risk of falls (noted as not being relevant to all disabilities), implementation of this policy and procedure reduces the associated risk and impact of a delayed response.</w:t>
            </w:r>
          </w:p>
        </w:tc>
        <w:tc>
          <w:tcPr>
            <w:tcW w:w="5103" w:type="dxa"/>
          </w:tcPr>
          <w:p w14:paraId="02251D8C"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3440D7" w:rsidRPr="00982781" w14:paraId="009F6799" w14:textId="77777777" w:rsidTr="00065770">
        <w:trPr>
          <w:trHeight w:val="560"/>
        </w:trPr>
        <w:tc>
          <w:tcPr>
            <w:cnfStyle w:val="001000000000" w:firstRow="0" w:lastRow="0" w:firstColumn="1" w:lastColumn="0" w:oddVBand="0" w:evenVBand="0" w:oddHBand="0" w:evenHBand="0" w:firstRowFirstColumn="0" w:firstRowLastColumn="0" w:lastRowFirstColumn="0" w:lastRowLastColumn="0"/>
            <w:tcW w:w="3397" w:type="dxa"/>
          </w:tcPr>
          <w:p w14:paraId="2E7A52A2" w14:textId="1933350F" w:rsidR="003440D7" w:rsidRPr="00982781" w:rsidRDefault="003440D7" w:rsidP="001F1536">
            <w:pPr>
              <w:spacing w:after="120" w:line="252" w:lineRule="auto"/>
              <w:contextualSpacing/>
              <w:rPr>
                <w:rFonts w:cs="Arial"/>
                <w:b w:val="0"/>
                <w:bCs w:val="0"/>
              </w:rPr>
            </w:pPr>
            <w:r w:rsidRPr="00982781">
              <w:rPr>
                <w:rFonts w:cs="Arial"/>
                <w:b w:val="0"/>
                <w:bCs w:val="0"/>
              </w:rPr>
              <w:t>Race</w:t>
            </w:r>
          </w:p>
        </w:tc>
        <w:tc>
          <w:tcPr>
            <w:tcW w:w="5954" w:type="dxa"/>
          </w:tcPr>
          <w:p w14:paraId="25C0E4B3"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AB0FE5">
              <w:rPr>
                <w:rFonts w:cs="Arial"/>
              </w:rPr>
              <w:t>Neutral impact expected as the model of care applies equally to all patients regardless of protected characteristics, and clinical decision-making is based solely on clinical presentation. No barriers to access or differential pathways identified.</w:t>
            </w:r>
          </w:p>
        </w:tc>
        <w:tc>
          <w:tcPr>
            <w:tcW w:w="5103" w:type="dxa"/>
          </w:tcPr>
          <w:p w14:paraId="74126451"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3440D7" w:rsidRPr="00982781" w14:paraId="22D9B376" w14:textId="77777777" w:rsidTr="00065770">
        <w:trPr>
          <w:trHeight w:val="554"/>
        </w:trPr>
        <w:tc>
          <w:tcPr>
            <w:cnfStyle w:val="001000000000" w:firstRow="0" w:lastRow="0" w:firstColumn="1" w:lastColumn="0" w:oddVBand="0" w:evenVBand="0" w:oddHBand="0" w:evenHBand="0" w:firstRowFirstColumn="0" w:firstRowLastColumn="0" w:lastRowFirstColumn="0" w:lastRowLastColumn="0"/>
            <w:tcW w:w="3397" w:type="dxa"/>
          </w:tcPr>
          <w:p w14:paraId="7E5608E8" w14:textId="77777777" w:rsidR="003440D7" w:rsidRPr="00982781" w:rsidRDefault="003440D7" w:rsidP="001F1536">
            <w:pPr>
              <w:spacing w:after="120" w:line="252" w:lineRule="auto"/>
              <w:contextualSpacing/>
              <w:rPr>
                <w:rFonts w:cs="Arial"/>
                <w:b w:val="0"/>
                <w:bCs w:val="0"/>
              </w:rPr>
            </w:pPr>
            <w:r w:rsidRPr="00982781">
              <w:rPr>
                <w:rFonts w:cs="Arial"/>
                <w:b w:val="0"/>
                <w:bCs w:val="0"/>
              </w:rPr>
              <w:t>Gender reassignment</w:t>
            </w:r>
          </w:p>
        </w:tc>
        <w:tc>
          <w:tcPr>
            <w:tcW w:w="5954" w:type="dxa"/>
          </w:tcPr>
          <w:p w14:paraId="45A0B28E"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AB0FE5">
              <w:rPr>
                <w:rFonts w:cs="Arial"/>
              </w:rPr>
              <w:t>Neutral impact expected as the model of care applies equally to all patients regardless of protected characteristics, and clinical decision-making is based solely on clinical presentation. No barriers to access or differential pathways identified.</w:t>
            </w:r>
          </w:p>
        </w:tc>
        <w:tc>
          <w:tcPr>
            <w:tcW w:w="5103" w:type="dxa"/>
          </w:tcPr>
          <w:p w14:paraId="40EEC3C8"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3440D7" w:rsidRPr="00982781" w14:paraId="09C9E624" w14:textId="77777777" w:rsidTr="00065770">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14C68D9C" w14:textId="77777777" w:rsidR="003440D7" w:rsidRPr="00982781" w:rsidRDefault="003440D7" w:rsidP="001F1536">
            <w:pPr>
              <w:spacing w:after="120" w:line="252" w:lineRule="auto"/>
              <w:contextualSpacing/>
              <w:rPr>
                <w:rFonts w:cs="Arial"/>
                <w:b w:val="0"/>
                <w:bCs w:val="0"/>
              </w:rPr>
            </w:pPr>
            <w:r w:rsidRPr="00982781">
              <w:rPr>
                <w:rFonts w:cs="Arial"/>
                <w:b w:val="0"/>
                <w:bCs w:val="0"/>
              </w:rPr>
              <w:t>Marriage &amp; civil partnership</w:t>
            </w:r>
          </w:p>
        </w:tc>
        <w:tc>
          <w:tcPr>
            <w:tcW w:w="5954" w:type="dxa"/>
          </w:tcPr>
          <w:p w14:paraId="2033680D"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AB0FE5">
              <w:rPr>
                <w:rFonts w:cs="Arial"/>
              </w:rPr>
              <w:t xml:space="preserve">Neutral impact expected as the model of care applies equally to all patients regardless of protected characteristics, and clinical decision-making is based </w:t>
            </w:r>
            <w:r w:rsidRPr="00AB0FE5">
              <w:rPr>
                <w:rFonts w:cs="Arial"/>
              </w:rPr>
              <w:lastRenderedPageBreak/>
              <w:t>solely on clinical presentation. No barriers to access or differential pathways identified.</w:t>
            </w:r>
          </w:p>
        </w:tc>
        <w:tc>
          <w:tcPr>
            <w:tcW w:w="5103" w:type="dxa"/>
          </w:tcPr>
          <w:p w14:paraId="6F2B6E0C"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p w14:paraId="7029AC75"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3440D7" w:rsidRPr="00982781" w14:paraId="423C0B32" w14:textId="77777777" w:rsidTr="00065770">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218E9A45" w14:textId="77777777" w:rsidR="003440D7" w:rsidRPr="00982781" w:rsidRDefault="003440D7" w:rsidP="001F1536">
            <w:pPr>
              <w:spacing w:after="120" w:line="252" w:lineRule="auto"/>
              <w:contextualSpacing/>
              <w:rPr>
                <w:rFonts w:cs="Arial"/>
                <w:b w:val="0"/>
                <w:bCs w:val="0"/>
              </w:rPr>
            </w:pPr>
            <w:r w:rsidRPr="00982781">
              <w:rPr>
                <w:rFonts w:cs="Arial"/>
                <w:b w:val="0"/>
                <w:bCs w:val="0"/>
              </w:rPr>
              <w:t>Pregnancy &amp; maternity</w:t>
            </w:r>
          </w:p>
        </w:tc>
        <w:tc>
          <w:tcPr>
            <w:tcW w:w="5954" w:type="dxa"/>
          </w:tcPr>
          <w:p w14:paraId="76C0FC77"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 impact expected, recognising that some falls may occur in pregnancy which would result in early escalation for clinical support and decision making.</w:t>
            </w:r>
          </w:p>
        </w:tc>
        <w:tc>
          <w:tcPr>
            <w:tcW w:w="5103" w:type="dxa"/>
          </w:tcPr>
          <w:p w14:paraId="64A2524C"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bl>
    <w:p w14:paraId="18F6B1E6" w14:textId="77777777" w:rsidR="00181171" w:rsidRDefault="00181171" w:rsidP="001F1536">
      <w:pPr>
        <w:spacing w:after="120" w:line="252" w:lineRule="auto"/>
        <w:contextualSpacing/>
        <w:rPr>
          <w:rFonts w:cs="Arial"/>
        </w:rPr>
        <w:sectPr w:rsidR="00181171" w:rsidSect="009A44CD">
          <w:pgSz w:w="16838" w:h="11906" w:orient="landscape" w:code="9"/>
          <w:pgMar w:top="1440" w:right="1440" w:bottom="1440" w:left="1440" w:header="709" w:footer="709" w:gutter="0"/>
          <w:cols w:space="708"/>
          <w:docGrid w:linePitch="360"/>
        </w:sectPr>
      </w:pPr>
    </w:p>
    <w:tbl>
      <w:tblPr>
        <w:tblStyle w:val="GridTable1Light"/>
        <w:tblW w:w="14454" w:type="dxa"/>
        <w:tblLook w:val="04A0" w:firstRow="1" w:lastRow="0" w:firstColumn="1" w:lastColumn="0" w:noHBand="0" w:noVBand="1"/>
      </w:tblPr>
      <w:tblGrid>
        <w:gridCol w:w="3397"/>
        <w:gridCol w:w="5954"/>
        <w:gridCol w:w="5103"/>
      </w:tblGrid>
      <w:tr w:rsidR="003440D7" w:rsidRPr="00982781" w14:paraId="159FB90A" w14:textId="77777777" w:rsidTr="00065770">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397" w:type="dxa"/>
          </w:tcPr>
          <w:p w14:paraId="148651FC" w14:textId="77777777" w:rsidR="003440D7" w:rsidRPr="00982781" w:rsidRDefault="003440D7" w:rsidP="001F1536">
            <w:pPr>
              <w:spacing w:after="120" w:line="252" w:lineRule="auto"/>
              <w:contextualSpacing/>
              <w:rPr>
                <w:rFonts w:cs="Arial"/>
                <w:b w:val="0"/>
                <w:bCs w:val="0"/>
              </w:rPr>
            </w:pPr>
            <w:r w:rsidRPr="00982781">
              <w:rPr>
                <w:rFonts w:cs="Arial"/>
                <w:b w:val="0"/>
                <w:bCs w:val="0"/>
              </w:rPr>
              <w:t>Religion &amp; beliefs</w:t>
            </w:r>
          </w:p>
        </w:tc>
        <w:tc>
          <w:tcPr>
            <w:tcW w:w="5954" w:type="dxa"/>
          </w:tcPr>
          <w:p w14:paraId="0003FBB4" w14:textId="77777777" w:rsidR="003440D7" w:rsidRPr="00982781" w:rsidRDefault="003440D7" w:rsidP="001F1536">
            <w:pPr>
              <w:spacing w:after="120" w:line="252" w:lineRule="auto"/>
              <w:cnfStyle w:val="100000000000" w:firstRow="1" w:lastRow="0" w:firstColumn="0" w:lastColumn="0" w:oddVBand="0" w:evenVBand="0" w:oddHBand="0" w:evenHBand="0" w:firstRowFirstColumn="0" w:firstRowLastColumn="0" w:lastRowFirstColumn="0" w:lastRowLastColumn="0"/>
              <w:rPr>
                <w:rFonts w:cs="Arial"/>
              </w:rPr>
            </w:pPr>
            <w:r w:rsidRPr="00AB0FE5">
              <w:rPr>
                <w:rFonts w:cs="Arial"/>
              </w:rPr>
              <w:t>Neutral impact expected as the model of care applies equally to all patients regardless of protected characteristics, and clinical decision-making is based solely on clinical presentation. No barriers to access or differential pathways identified.</w:t>
            </w:r>
          </w:p>
        </w:tc>
        <w:tc>
          <w:tcPr>
            <w:tcW w:w="5103" w:type="dxa"/>
          </w:tcPr>
          <w:p w14:paraId="33DBE2FC" w14:textId="77777777" w:rsidR="003440D7" w:rsidRPr="00982781" w:rsidRDefault="003440D7" w:rsidP="001F1536">
            <w:pPr>
              <w:spacing w:after="120" w:line="252" w:lineRule="auto"/>
              <w:cnfStyle w:val="100000000000" w:firstRow="1" w:lastRow="0" w:firstColumn="0" w:lastColumn="0" w:oddVBand="0" w:evenVBand="0" w:oddHBand="0" w:evenHBand="0" w:firstRowFirstColumn="0" w:firstRowLastColumn="0" w:lastRowFirstColumn="0" w:lastRowLastColumn="0"/>
              <w:rPr>
                <w:rFonts w:cs="Arial"/>
              </w:rPr>
            </w:pPr>
          </w:p>
        </w:tc>
      </w:tr>
      <w:tr w:rsidR="003440D7" w:rsidRPr="00982781" w14:paraId="22B42B04" w14:textId="77777777" w:rsidTr="00065770">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2B8A6D9E" w14:textId="77777777" w:rsidR="003440D7" w:rsidRPr="00982781" w:rsidRDefault="003440D7" w:rsidP="001F1536">
            <w:pPr>
              <w:spacing w:after="120" w:line="252" w:lineRule="auto"/>
              <w:contextualSpacing/>
              <w:rPr>
                <w:rFonts w:cs="Arial"/>
                <w:b w:val="0"/>
                <w:bCs w:val="0"/>
              </w:rPr>
            </w:pPr>
            <w:r w:rsidRPr="00982781">
              <w:rPr>
                <w:rFonts w:cs="Arial"/>
                <w:b w:val="0"/>
                <w:bCs w:val="0"/>
              </w:rPr>
              <w:t>Sex</w:t>
            </w:r>
          </w:p>
        </w:tc>
        <w:tc>
          <w:tcPr>
            <w:tcW w:w="5954" w:type="dxa"/>
          </w:tcPr>
          <w:p w14:paraId="789C1256"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AB0FE5">
              <w:rPr>
                <w:rFonts w:cs="Arial"/>
              </w:rPr>
              <w:t>Neutral impact expected as the model of care applies equally to all patients regardless of protected characteristics, and clinical decision-making is based solely on clinical presentation. No barriers to access or differential pathways identified.</w:t>
            </w:r>
          </w:p>
        </w:tc>
        <w:tc>
          <w:tcPr>
            <w:tcW w:w="5103" w:type="dxa"/>
          </w:tcPr>
          <w:p w14:paraId="16785DD3"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3440D7" w:rsidRPr="00982781" w14:paraId="7669209C" w14:textId="77777777" w:rsidTr="00065770">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74E2F73D" w14:textId="77777777" w:rsidR="003440D7" w:rsidRPr="00982781" w:rsidRDefault="003440D7" w:rsidP="001F1536">
            <w:pPr>
              <w:spacing w:after="120" w:line="252" w:lineRule="auto"/>
              <w:contextualSpacing/>
              <w:rPr>
                <w:rFonts w:cs="Arial"/>
                <w:b w:val="0"/>
                <w:bCs w:val="0"/>
              </w:rPr>
            </w:pPr>
            <w:r w:rsidRPr="00982781">
              <w:rPr>
                <w:rFonts w:cs="Arial"/>
                <w:b w:val="0"/>
                <w:bCs w:val="0"/>
              </w:rPr>
              <w:t>Sexual orientation</w:t>
            </w:r>
          </w:p>
        </w:tc>
        <w:tc>
          <w:tcPr>
            <w:tcW w:w="5954" w:type="dxa"/>
          </w:tcPr>
          <w:p w14:paraId="4233E79B"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AB0FE5">
              <w:rPr>
                <w:rFonts w:cs="Arial"/>
              </w:rPr>
              <w:t>Neutral impact expected as the model of care applies equally to all patients regardless of protected characteristics, and clinical decision-making is based solely on clinical presentation. No barriers to access or differential pathways identified.</w:t>
            </w:r>
          </w:p>
        </w:tc>
        <w:tc>
          <w:tcPr>
            <w:tcW w:w="5103" w:type="dxa"/>
          </w:tcPr>
          <w:p w14:paraId="5C48F64E"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p w14:paraId="761DF5BC" w14:textId="77777777" w:rsidR="003440D7" w:rsidRPr="00982781" w:rsidRDefault="003440D7" w:rsidP="001F1536">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bl>
    <w:p w14:paraId="3A14EF7E" w14:textId="77777777" w:rsidR="003440D7" w:rsidRDefault="003440D7" w:rsidP="003440D7">
      <w:pPr>
        <w:rPr>
          <w:rFonts w:cs="Arial"/>
          <w:color w:val="0063BC"/>
          <w:lang w:eastAsia="en-GB"/>
        </w:rPr>
      </w:pPr>
    </w:p>
    <w:p w14:paraId="35C5FE63" w14:textId="77777777" w:rsidR="00065770" w:rsidRPr="00FC31FC" w:rsidRDefault="00065770" w:rsidP="003440D7">
      <w:pPr>
        <w:rPr>
          <w:rFonts w:cs="Arial"/>
          <w:color w:val="0063BC"/>
          <w:lang w:eastAsia="en-GB"/>
        </w:rPr>
      </w:pPr>
    </w:p>
    <w:tbl>
      <w:tblPr>
        <w:tblStyle w:val="GridTable1Light"/>
        <w:tblW w:w="14620" w:type="dxa"/>
        <w:tblLook w:val="04A0" w:firstRow="1" w:lastRow="0" w:firstColumn="1" w:lastColumn="0" w:noHBand="0" w:noVBand="1"/>
      </w:tblPr>
      <w:tblGrid>
        <w:gridCol w:w="3397"/>
        <w:gridCol w:w="5954"/>
        <w:gridCol w:w="5269"/>
      </w:tblGrid>
      <w:tr w:rsidR="003440D7" w:rsidRPr="009A0525" w14:paraId="0C5D482C" w14:textId="77777777" w:rsidTr="00065770">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3397" w:type="dxa"/>
            <w:shd w:val="clear" w:color="auto" w:fill="92D050"/>
          </w:tcPr>
          <w:p w14:paraId="50348120" w14:textId="77777777" w:rsidR="003440D7" w:rsidRPr="009A0525" w:rsidRDefault="003440D7" w:rsidP="001F1536">
            <w:pPr>
              <w:pStyle w:val="CCGAParatext"/>
              <w:rPr>
                <w:rFonts w:cs="Arial"/>
                <w:b w:val="0"/>
                <w:bCs w:val="0"/>
                <w:sz w:val="22"/>
                <w:lang w:eastAsia="en-GB"/>
              </w:rPr>
            </w:pPr>
            <w:r w:rsidRPr="009A0525">
              <w:rPr>
                <w:rFonts w:cs="Arial"/>
                <w:b w:val="0"/>
                <w:bCs w:val="0"/>
                <w:sz w:val="22"/>
              </w:rPr>
              <w:lastRenderedPageBreak/>
              <w:t>Vulnerable groups/existing inequity</w:t>
            </w:r>
          </w:p>
        </w:tc>
        <w:tc>
          <w:tcPr>
            <w:tcW w:w="5954" w:type="dxa"/>
            <w:shd w:val="clear" w:color="auto" w:fill="F2F2F2" w:themeFill="background1" w:themeFillShade="F2"/>
          </w:tcPr>
          <w:p w14:paraId="094A85FD" w14:textId="77777777" w:rsidR="003440D7" w:rsidRPr="009A0525" w:rsidRDefault="003440D7" w:rsidP="001F1536">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9A0525">
              <w:rPr>
                <w:rFonts w:cs="Arial"/>
                <w:b w:val="0"/>
                <w:bCs w:val="0"/>
                <w:sz w:val="22"/>
              </w:rPr>
              <w:t>Describe here the considerations and concerns in relation to the programme/policy for the selected groups. These may be positive, negative or neutral if there is no impact.</w:t>
            </w:r>
          </w:p>
        </w:tc>
        <w:tc>
          <w:tcPr>
            <w:tcW w:w="5269" w:type="dxa"/>
            <w:shd w:val="clear" w:color="auto" w:fill="F2F2F2" w:themeFill="background1" w:themeFillShade="F2"/>
          </w:tcPr>
          <w:p w14:paraId="0B02FAD4" w14:textId="77777777" w:rsidR="003440D7" w:rsidRPr="009A0525" w:rsidRDefault="003440D7" w:rsidP="001F1536">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9A0525">
              <w:rPr>
                <w:rFonts w:cs="Arial"/>
                <w:b w:val="0"/>
                <w:bCs w:val="0"/>
                <w:sz w:val="22"/>
              </w:rPr>
              <w:t>If you have identified any negative impacts, describe here suggested mitigations to inform the actions needed to reduce inequalities.</w:t>
            </w:r>
          </w:p>
        </w:tc>
      </w:tr>
      <w:tr w:rsidR="003440D7" w:rsidRPr="009A0525" w14:paraId="52BCBD20" w14:textId="77777777" w:rsidTr="00065770">
        <w:trPr>
          <w:trHeight w:val="382"/>
        </w:trPr>
        <w:tc>
          <w:tcPr>
            <w:cnfStyle w:val="001000000000" w:firstRow="0" w:lastRow="0" w:firstColumn="1" w:lastColumn="0" w:oddVBand="0" w:evenVBand="0" w:oddHBand="0" w:evenHBand="0" w:firstRowFirstColumn="0" w:firstRowLastColumn="0" w:lastRowFirstColumn="0" w:lastRowLastColumn="0"/>
            <w:tcW w:w="3397" w:type="dxa"/>
          </w:tcPr>
          <w:p w14:paraId="71A67974" w14:textId="77777777" w:rsidR="003440D7" w:rsidRPr="009A0525" w:rsidRDefault="003440D7" w:rsidP="001F1536">
            <w:pPr>
              <w:pStyle w:val="CCGAParatext"/>
              <w:rPr>
                <w:rFonts w:cs="Arial"/>
                <w:b w:val="0"/>
                <w:bCs w:val="0"/>
                <w:sz w:val="22"/>
                <w:lang w:eastAsia="en-GB"/>
              </w:rPr>
            </w:pPr>
            <w:r w:rsidRPr="009A0525">
              <w:rPr>
                <w:rFonts w:cs="Arial"/>
                <w:b w:val="0"/>
                <w:bCs w:val="0"/>
                <w:sz w:val="22"/>
                <w:lang w:eastAsia="en-GB"/>
              </w:rPr>
              <w:t>Armed forces</w:t>
            </w:r>
          </w:p>
        </w:tc>
        <w:tc>
          <w:tcPr>
            <w:tcW w:w="5954" w:type="dxa"/>
          </w:tcPr>
          <w:p w14:paraId="1A8E3D32"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65770">
              <w:rPr>
                <w:rFonts w:cs="Arial"/>
                <w:sz w:val="22"/>
                <w:szCs w:val="21"/>
              </w:rPr>
              <w:t>Neutral</w:t>
            </w:r>
          </w:p>
        </w:tc>
        <w:tc>
          <w:tcPr>
            <w:tcW w:w="5269" w:type="dxa"/>
          </w:tcPr>
          <w:p w14:paraId="5DCE69C6"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201F19F0"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2DB0598E" w14:textId="77777777" w:rsidR="003440D7" w:rsidRPr="009A0525" w:rsidRDefault="003440D7" w:rsidP="001F1536">
            <w:pPr>
              <w:pStyle w:val="CCGAParatext"/>
              <w:rPr>
                <w:rFonts w:cs="Arial"/>
                <w:b w:val="0"/>
                <w:bCs w:val="0"/>
                <w:sz w:val="22"/>
                <w:lang w:eastAsia="en-GB"/>
              </w:rPr>
            </w:pPr>
            <w:r w:rsidRPr="009A0525">
              <w:rPr>
                <w:rFonts w:cs="Arial"/>
                <w:b w:val="0"/>
                <w:bCs w:val="0"/>
                <w:sz w:val="22"/>
                <w:lang w:eastAsia="en-GB"/>
              </w:rPr>
              <w:t>Carers</w:t>
            </w:r>
          </w:p>
        </w:tc>
        <w:tc>
          <w:tcPr>
            <w:tcW w:w="5954" w:type="dxa"/>
          </w:tcPr>
          <w:p w14:paraId="616869C3"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Where carers are present with a person who has fallen but are unable to fully assess or support that individual upright, implementation of this policy/procedure aims to reduce the amount of time they wait for a Trust response.</w:t>
            </w:r>
          </w:p>
        </w:tc>
        <w:tc>
          <w:tcPr>
            <w:tcW w:w="5269" w:type="dxa"/>
          </w:tcPr>
          <w:p w14:paraId="7DAE3B1F"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312D4ECA"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6432C176" w14:textId="14973565" w:rsidR="003440D7" w:rsidRPr="009A0525" w:rsidRDefault="003440D7" w:rsidP="001F1536">
            <w:pPr>
              <w:pStyle w:val="CCGAParatext"/>
              <w:rPr>
                <w:rFonts w:eastAsia="Times New Roman" w:cs="Arial"/>
                <w:b w:val="0"/>
                <w:bCs w:val="0"/>
                <w:sz w:val="22"/>
                <w:lang w:eastAsia="en-GB"/>
              </w:rPr>
            </w:pPr>
            <w:r w:rsidRPr="009A0525">
              <w:rPr>
                <w:rFonts w:eastAsia="Times New Roman" w:cs="Arial"/>
                <w:b w:val="0"/>
                <w:bCs w:val="0"/>
                <w:sz w:val="22"/>
                <w:lang w:eastAsia="en-GB"/>
              </w:rPr>
              <w:t>Digital exclusion</w:t>
            </w:r>
          </w:p>
        </w:tc>
        <w:tc>
          <w:tcPr>
            <w:tcW w:w="5954" w:type="dxa"/>
          </w:tcPr>
          <w:p w14:paraId="0A34AB54"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2B39C4">
              <w:rPr>
                <w:rFonts w:cs="Arial"/>
                <w:sz w:val="22"/>
                <w:szCs w:val="21"/>
              </w:rPr>
              <w:t>Telephone triage and remote consultation do not require digital access by the patient, and where required support will be available from the CFR on scene.</w:t>
            </w:r>
          </w:p>
        </w:tc>
        <w:tc>
          <w:tcPr>
            <w:tcW w:w="5269" w:type="dxa"/>
          </w:tcPr>
          <w:p w14:paraId="219D78B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53B79281" w14:textId="77777777" w:rsidTr="00065770">
        <w:trPr>
          <w:trHeight w:val="355"/>
        </w:trPr>
        <w:tc>
          <w:tcPr>
            <w:cnfStyle w:val="001000000000" w:firstRow="0" w:lastRow="0" w:firstColumn="1" w:lastColumn="0" w:oddVBand="0" w:evenVBand="0" w:oddHBand="0" w:evenHBand="0" w:firstRowFirstColumn="0" w:firstRowLastColumn="0" w:lastRowFirstColumn="0" w:lastRowLastColumn="0"/>
            <w:tcW w:w="3397" w:type="dxa"/>
          </w:tcPr>
          <w:p w14:paraId="32345F58"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Domestic abuse</w:t>
            </w:r>
          </w:p>
        </w:tc>
        <w:tc>
          <w:tcPr>
            <w:tcW w:w="5954" w:type="dxa"/>
          </w:tcPr>
          <w:p w14:paraId="1E3A8325"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65770">
              <w:rPr>
                <w:rFonts w:cs="Arial"/>
                <w:sz w:val="22"/>
                <w:szCs w:val="21"/>
              </w:rPr>
              <w:t>Neutral</w:t>
            </w:r>
          </w:p>
        </w:tc>
        <w:tc>
          <w:tcPr>
            <w:tcW w:w="5269" w:type="dxa"/>
          </w:tcPr>
          <w:p w14:paraId="45C5E38E"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4809249C"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447C497C"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Education (literacy)</w:t>
            </w:r>
          </w:p>
        </w:tc>
        <w:tc>
          <w:tcPr>
            <w:tcW w:w="5954" w:type="dxa"/>
          </w:tcPr>
          <w:p w14:paraId="6F1C0617"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2B39C4">
              <w:rPr>
                <w:rFonts w:cs="Arial"/>
              </w:rPr>
              <w:t xml:space="preserve">For </w:t>
            </w:r>
            <w:r>
              <w:rPr>
                <w:rFonts w:cs="Arial"/>
              </w:rPr>
              <w:t xml:space="preserve">all </w:t>
            </w:r>
            <w:r w:rsidRPr="002B39C4">
              <w:rPr>
                <w:rFonts w:cs="Arial"/>
              </w:rPr>
              <w:t>patients, communication is verbally delivered by responders or clinicians</w:t>
            </w:r>
            <w:r>
              <w:rPr>
                <w:rFonts w:cs="Arial"/>
              </w:rPr>
              <w:t xml:space="preserve"> (written documentation is only supplementary to this)</w:t>
            </w:r>
            <w:r w:rsidRPr="002B39C4">
              <w:rPr>
                <w:rFonts w:cs="Arial"/>
              </w:rPr>
              <w:t>, ensuring no disadvantage in understanding care or advice</w:t>
            </w:r>
            <w:r>
              <w:rPr>
                <w:rFonts w:cs="Arial"/>
              </w:rPr>
              <w:t xml:space="preserve"> by those who have low literacy</w:t>
            </w:r>
            <w:r w:rsidRPr="002B39C4">
              <w:rPr>
                <w:rFonts w:cs="Arial"/>
              </w:rPr>
              <w:t>.</w:t>
            </w:r>
          </w:p>
        </w:tc>
        <w:tc>
          <w:tcPr>
            <w:tcW w:w="5269" w:type="dxa"/>
          </w:tcPr>
          <w:p w14:paraId="21229DB6"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2FF88651"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21CE582E"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Homeless</w:t>
            </w:r>
          </w:p>
        </w:tc>
        <w:tc>
          <w:tcPr>
            <w:tcW w:w="5954" w:type="dxa"/>
          </w:tcPr>
          <w:p w14:paraId="04199895"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Use of volunteers as per this policy/procedure aims to improve response times for those in isolated communities, including those who are homeless.</w:t>
            </w:r>
          </w:p>
        </w:tc>
        <w:tc>
          <w:tcPr>
            <w:tcW w:w="5269" w:type="dxa"/>
          </w:tcPr>
          <w:p w14:paraId="64FF449F"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59800E1A" w14:textId="77777777" w:rsidTr="00065770">
        <w:trPr>
          <w:trHeight w:val="400"/>
        </w:trPr>
        <w:tc>
          <w:tcPr>
            <w:cnfStyle w:val="001000000000" w:firstRow="0" w:lastRow="0" w:firstColumn="1" w:lastColumn="0" w:oddVBand="0" w:evenVBand="0" w:oddHBand="0" w:evenHBand="0" w:firstRowFirstColumn="0" w:firstRowLastColumn="0" w:lastRowFirstColumn="0" w:lastRowLastColumn="0"/>
            <w:tcW w:w="3397" w:type="dxa"/>
          </w:tcPr>
          <w:p w14:paraId="6C45A33F" w14:textId="77777777" w:rsidR="003440D7" w:rsidRPr="009A0525" w:rsidRDefault="003440D7" w:rsidP="001F1536">
            <w:pPr>
              <w:pStyle w:val="CCGAParatext"/>
              <w:rPr>
                <w:rFonts w:eastAsia="Times New Roman" w:cs="Arial"/>
                <w:b w:val="0"/>
                <w:bCs w:val="0"/>
                <w:sz w:val="22"/>
                <w:lang w:eastAsia="en-GB"/>
              </w:rPr>
            </w:pPr>
            <w:r w:rsidRPr="009A0525">
              <w:rPr>
                <w:rFonts w:eastAsia="Times New Roman" w:cs="Arial"/>
                <w:b w:val="0"/>
                <w:bCs w:val="0"/>
                <w:sz w:val="22"/>
                <w:lang w:eastAsia="en-GB"/>
              </w:rPr>
              <w:t>Looked after children</w:t>
            </w:r>
          </w:p>
        </w:tc>
        <w:tc>
          <w:tcPr>
            <w:tcW w:w="5954" w:type="dxa"/>
          </w:tcPr>
          <w:p w14:paraId="46948F36"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65770">
              <w:rPr>
                <w:rFonts w:cs="Arial"/>
                <w:sz w:val="22"/>
                <w:szCs w:val="21"/>
              </w:rPr>
              <w:t>Neutral</w:t>
            </w:r>
          </w:p>
        </w:tc>
        <w:tc>
          <w:tcPr>
            <w:tcW w:w="5269" w:type="dxa"/>
          </w:tcPr>
          <w:p w14:paraId="4C46F70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2A5A321F"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20A9E2A0"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Rural/urban geographies</w:t>
            </w:r>
          </w:p>
        </w:tc>
        <w:tc>
          <w:tcPr>
            <w:tcW w:w="5954" w:type="dxa"/>
          </w:tcPr>
          <w:p w14:paraId="3067CC2C"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Where geographical constraints have previously led to a prolonged ambulance response, implementation of this policy/procedure aims to provide a more rapid response and therefore reduce risk.</w:t>
            </w:r>
          </w:p>
        </w:tc>
        <w:tc>
          <w:tcPr>
            <w:tcW w:w="5269" w:type="dxa"/>
          </w:tcPr>
          <w:p w14:paraId="191088BB"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77166FB4"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61418DFA"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lastRenderedPageBreak/>
              <w:t>Socioeconomic disadvantage</w:t>
            </w:r>
          </w:p>
        </w:tc>
        <w:tc>
          <w:tcPr>
            <w:tcW w:w="5954" w:type="dxa"/>
          </w:tcPr>
          <w:p w14:paraId="2AF08AEF"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690EC7DE"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189DF645"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32C84759"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People with addiction or substance misuse problems</w:t>
            </w:r>
          </w:p>
        </w:tc>
        <w:tc>
          <w:tcPr>
            <w:tcW w:w="5954" w:type="dxa"/>
          </w:tcPr>
          <w:p w14:paraId="4865FE05"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0BCED3BF"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6CCFB548"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7EFD6B29"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People on probation</w:t>
            </w:r>
          </w:p>
        </w:tc>
        <w:tc>
          <w:tcPr>
            <w:tcW w:w="5954" w:type="dxa"/>
          </w:tcPr>
          <w:p w14:paraId="5B0509A4"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6B4FBB42"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7A50D6C8"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776A70FB"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Prison population</w:t>
            </w:r>
          </w:p>
        </w:tc>
        <w:tc>
          <w:tcPr>
            <w:tcW w:w="5954" w:type="dxa"/>
          </w:tcPr>
          <w:p w14:paraId="497D47B1"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66342A8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6CE2A7F8"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0A4CB105"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Undocumented migrants, refugees, asylum seekers</w:t>
            </w:r>
          </w:p>
        </w:tc>
        <w:tc>
          <w:tcPr>
            <w:tcW w:w="5954" w:type="dxa"/>
          </w:tcPr>
          <w:p w14:paraId="3B2FB1C2"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2FC32802"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24F7219B"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4E52CDBA" w14:textId="77777777" w:rsidR="003440D7" w:rsidRPr="009A0525" w:rsidRDefault="003440D7" w:rsidP="001F1536">
            <w:pPr>
              <w:pStyle w:val="CCGAParatext"/>
              <w:rPr>
                <w:rFonts w:eastAsia="Times New Roman" w:cs="Arial"/>
                <w:b w:val="0"/>
                <w:bCs w:val="0"/>
                <w:sz w:val="22"/>
                <w:lang w:eastAsia="en-GB"/>
              </w:rPr>
            </w:pPr>
            <w:r w:rsidRPr="009A0525">
              <w:rPr>
                <w:rFonts w:eastAsia="Times New Roman" w:cs="Arial"/>
                <w:b w:val="0"/>
                <w:bCs w:val="0"/>
                <w:sz w:val="22"/>
                <w:lang w:eastAsia="en-GB"/>
              </w:rPr>
              <w:t>Sex workers</w:t>
            </w:r>
          </w:p>
        </w:tc>
        <w:tc>
          <w:tcPr>
            <w:tcW w:w="5954" w:type="dxa"/>
          </w:tcPr>
          <w:p w14:paraId="59AB4358"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1A435A97"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3440D7" w:rsidRPr="009A0525" w14:paraId="0B5EE769"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3397" w:type="dxa"/>
          </w:tcPr>
          <w:p w14:paraId="37D10D7A" w14:textId="77777777" w:rsidR="003440D7" w:rsidRPr="009A0525" w:rsidRDefault="003440D7" w:rsidP="001F1536">
            <w:pPr>
              <w:pStyle w:val="CCGAParatext"/>
              <w:rPr>
                <w:rFonts w:cs="Arial"/>
                <w:b w:val="0"/>
                <w:bCs w:val="0"/>
                <w:sz w:val="22"/>
                <w:lang w:eastAsia="en-GB"/>
              </w:rPr>
            </w:pPr>
            <w:r w:rsidRPr="009A0525">
              <w:rPr>
                <w:rFonts w:eastAsia="Times New Roman" w:cs="Arial"/>
                <w:b w:val="0"/>
                <w:bCs w:val="0"/>
                <w:sz w:val="22"/>
                <w:lang w:eastAsia="en-GB"/>
              </w:rPr>
              <w:t>Other</w:t>
            </w:r>
            <w:r>
              <w:rPr>
                <w:rFonts w:eastAsia="Times New Roman" w:cs="Arial"/>
                <w:b w:val="0"/>
                <w:bCs w:val="0"/>
                <w:sz w:val="22"/>
                <w:lang w:eastAsia="en-GB"/>
              </w:rPr>
              <w:t xml:space="preserve"> – Risk of challenge through use of volunteer roles</w:t>
            </w:r>
          </w:p>
        </w:tc>
        <w:tc>
          <w:tcPr>
            <w:tcW w:w="5954" w:type="dxa"/>
          </w:tcPr>
          <w:p w14:paraId="69FED6D0"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rPr>
              <w:t>Neutral</w:t>
            </w:r>
          </w:p>
        </w:tc>
        <w:tc>
          <w:tcPr>
            <w:tcW w:w="5269" w:type="dxa"/>
          </w:tcPr>
          <w:p w14:paraId="7083CD11"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A</w:t>
            </w:r>
            <w:r w:rsidRPr="006D25F3">
              <w:rPr>
                <w:rFonts w:cs="Arial"/>
                <w:sz w:val="22"/>
                <w:lang w:eastAsia="en-GB"/>
              </w:rPr>
              <w:t xml:space="preserve">ll volunteers working within this model receive accredited training in patient assessment and handling, operate within a clear scope of practice, and must escalate concerns immediately to a clinician or EOC. Remote clinical consultation is </w:t>
            </w:r>
            <w:r>
              <w:rPr>
                <w:rFonts w:cs="Arial"/>
                <w:sz w:val="22"/>
                <w:lang w:eastAsia="en-GB"/>
              </w:rPr>
              <w:t>undertaken by a clinician rather than the volunteer themselves</w:t>
            </w:r>
            <w:r w:rsidRPr="006D25F3">
              <w:rPr>
                <w:rFonts w:cs="Arial"/>
                <w:sz w:val="22"/>
                <w:lang w:eastAsia="en-GB"/>
              </w:rPr>
              <w:t>, ensuring clinical oversight.</w:t>
            </w:r>
          </w:p>
        </w:tc>
      </w:tr>
    </w:tbl>
    <w:p w14:paraId="52E05FB7" w14:textId="77777777" w:rsidR="003440D7" w:rsidRDefault="003440D7" w:rsidP="003440D7">
      <w:pPr>
        <w:spacing w:after="160" w:line="259" w:lineRule="auto"/>
        <w:rPr>
          <w:rFonts w:cs="Arial"/>
          <w:color w:val="0070C0"/>
          <w:lang w:eastAsia="en-GB"/>
        </w:rPr>
      </w:pPr>
    </w:p>
    <w:p w14:paraId="373B884F" w14:textId="77777777" w:rsidR="00065770" w:rsidRDefault="00065770" w:rsidP="003440D7">
      <w:pPr>
        <w:spacing w:after="160" w:line="259" w:lineRule="auto"/>
        <w:rPr>
          <w:rFonts w:cs="Arial"/>
          <w:color w:val="0070C0"/>
          <w:lang w:eastAsia="en-GB"/>
        </w:rPr>
      </w:pPr>
    </w:p>
    <w:p w14:paraId="624EA69E" w14:textId="77777777" w:rsidR="00065770" w:rsidRDefault="00065770" w:rsidP="003440D7">
      <w:pPr>
        <w:spacing w:after="160" w:line="259" w:lineRule="auto"/>
        <w:rPr>
          <w:rFonts w:cs="Arial"/>
          <w:color w:val="0070C0"/>
          <w:lang w:eastAsia="en-GB"/>
        </w:rPr>
      </w:pPr>
    </w:p>
    <w:p w14:paraId="02BB33E7" w14:textId="77777777" w:rsidR="00065770" w:rsidRDefault="00065770" w:rsidP="003440D7">
      <w:pPr>
        <w:spacing w:after="160" w:line="259" w:lineRule="auto"/>
        <w:rPr>
          <w:rFonts w:cs="Arial"/>
          <w:color w:val="0070C0"/>
          <w:lang w:eastAsia="en-GB"/>
        </w:rPr>
      </w:pPr>
    </w:p>
    <w:p w14:paraId="65D244EF" w14:textId="77777777" w:rsidR="00065770" w:rsidRDefault="00065770" w:rsidP="003440D7">
      <w:pPr>
        <w:spacing w:after="160" w:line="259" w:lineRule="auto"/>
        <w:rPr>
          <w:rFonts w:cs="Arial"/>
          <w:color w:val="0070C0"/>
          <w:lang w:eastAsia="en-GB"/>
        </w:rPr>
      </w:pPr>
    </w:p>
    <w:p w14:paraId="04C4CEA5" w14:textId="77777777" w:rsidR="003440D7" w:rsidRPr="009A0525" w:rsidRDefault="003440D7" w:rsidP="003440D7">
      <w:pPr>
        <w:pStyle w:val="CCGAParatext"/>
        <w:rPr>
          <w:rFonts w:eastAsia="Times New Roman" w:cs="Arial"/>
          <w:color w:val="4BACC6" w:themeColor="accent5"/>
          <w:sz w:val="22"/>
          <w:lang w:eastAsia="en-GB"/>
        </w:rPr>
      </w:pPr>
      <w:r w:rsidRPr="009A0525">
        <w:rPr>
          <w:rFonts w:eastAsia="Times New Roman" w:cs="Arial"/>
          <w:color w:val="4BACC6" w:themeColor="accent5"/>
          <w:sz w:val="22"/>
          <w:lang w:eastAsia="en-GB"/>
        </w:rPr>
        <w:lastRenderedPageBreak/>
        <w:t>5.4 Impact on Human Rights</w:t>
      </w:r>
    </w:p>
    <w:p w14:paraId="0D383748" w14:textId="77777777" w:rsidR="003440D7" w:rsidRPr="00AD32AB" w:rsidRDefault="003440D7" w:rsidP="003440D7">
      <w:pPr>
        <w:pStyle w:val="CCGAParatext"/>
        <w:rPr>
          <w:rFonts w:eastAsia="Times New Roman" w:cs="Arial"/>
          <w:sz w:val="22"/>
          <w:lang w:eastAsia="en-GB"/>
        </w:rPr>
      </w:pPr>
      <w:r w:rsidRPr="009A0525">
        <w:rPr>
          <w:rFonts w:eastAsia="Times New Roman" w:cs="Arial"/>
          <w:sz w:val="22"/>
          <w:lang w:eastAsia="en-GB"/>
        </w:rPr>
        <w:t xml:space="preserve">If a provision or feature of your policy or service potentially unlawfully interferes with a human </w:t>
      </w:r>
      <w:proofErr w:type="gramStart"/>
      <w:r w:rsidRPr="009A0525">
        <w:rPr>
          <w:rFonts w:eastAsia="Times New Roman" w:cs="Arial"/>
          <w:sz w:val="22"/>
          <w:lang w:eastAsia="en-GB"/>
        </w:rPr>
        <w:t>right</w:t>
      </w:r>
      <w:proofErr w:type="gramEnd"/>
      <w:r w:rsidRPr="009A0525">
        <w:rPr>
          <w:rFonts w:eastAsia="Times New Roman" w:cs="Arial"/>
          <w:sz w:val="22"/>
          <w:lang w:eastAsia="en-GB"/>
        </w:rPr>
        <w:t xml:space="preserve"> then it is </w:t>
      </w:r>
      <w:proofErr w:type="gramStart"/>
      <w:r w:rsidRPr="009A0525">
        <w:rPr>
          <w:rFonts w:eastAsia="Times New Roman" w:cs="Arial"/>
          <w:sz w:val="22"/>
          <w:lang w:eastAsia="en-GB"/>
        </w:rPr>
        <w:t>negative .</w:t>
      </w:r>
      <w:proofErr w:type="gramEnd"/>
      <w:r w:rsidRPr="009A0525">
        <w:rPr>
          <w:rFonts w:eastAsia="Times New Roman" w:cs="Arial"/>
          <w:sz w:val="22"/>
          <w:lang w:eastAsia="en-GB"/>
        </w:rPr>
        <w:t xml:space="preserve"> If something protects or promote a human right, then it is positive. Human rights and freedoms belong to everyone. They give the legal </w:t>
      </w:r>
      <w:proofErr w:type="gramStart"/>
      <w:r w:rsidRPr="009A0525">
        <w:rPr>
          <w:rFonts w:eastAsia="Times New Roman" w:cs="Arial"/>
          <w:sz w:val="22"/>
          <w:lang w:eastAsia="en-GB"/>
        </w:rPr>
        <w:t>basis  to</w:t>
      </w:r>
      <w:proofErr w:type="gramEnd"/>
      <w:r w:rsidRPr="009A0525">
        <w:rPr>
          <w:rFonts w:eastAsia="Times New Roman" w:cs="Arial"/>
          <w:sz w:val="22"/>
          <w:lang w:eastAsia="en-GB"/>
        </w:rPr>
        <w:t xml:space="preserve"> basic values of fairness, respect, equality, dignity and autonomy. They provide a set of minimum legal standards for all public bodies, including the NHS. They protect an individual’s rights whilst considering the rights of other people and wider society.</w:t>
      </w:r>
      <w:bookmarkStart w:id="39" w:name="_Impact_Score_(Major,_Severe,_Modera"/>
      <w:bookmarkStart w:id="40" w:name="_Impact_Score_(1-4)"/>
      <w:bookmarkStart w:id="41" w:name="_Low_(1)_1"/>
      <w:bookmarkStart w:id="42" w:name="_Question_4.1:_Awareness_and_‘Ways_I"/>
      <w:bookmarkStart w:id="43" w:name="_Scoring"/>
      <w:bookmarkEnd w:id="39"/>
      <w:bookmarkEnd w:id="40"/>
      <w:bookmarkEnd w:id="41"/>
      <w:bookmarkEnd w:id="42"/>
      <w:bookmarkEnd w:id="43"/>
    </w:p>
    <w:tbl>
      <w:tblPr>
        <w:tblStyle w:val="GridTable1Light"/>
        <w:tblW w:w="13911" w:type="dxa"/>
        <w:tblLook w:val="04A0" w:firstRow="1" w:lastRow="0" w:firstColumn="1" w:lastColumn="0" w:noHBand="0" w:noVBand="1"/>
      </w:tblPr>
      <w:tblGrid>
        <w:gridCol w:w="4390"/>
        <w:gridCol w:w="4961"/>
        <w:gridCol w:w="4560"/>
      </w:tblGrid>
      <w:tr w:rsidR="003440D7" w:rsidRPr="009A0525" w14:paraId="077B1C48" w14:textId="77777777" w:rsidTr="00065770">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4390" w:type="dxa"/>
            <w:shd w:val="clear" w:color="auto" w:fill="4F81BD" w:themeFill="accent1"/>
          </w:tcPr>
          <w:p w14:paraId="40AD867E" w14:textId="77777777" w:rsidR="003440D7" w:rsidRPr="009A0525" w:rsidRDefault="003440D7" w:rsidP="001F1536">
            <w:pPr>
              <w:pStyle w:val="CCGAParatext"/>
              <w:rPr>
                <w:rFonts w:cs="Arial"/>
                <w:b w:val="0"/>
                <w:bCs w:val="0"/>
                <w:sz w:val="20"/>
                <w:szCs w:val="20"/>
                <w:lang w:eastAsia="en-GB"/>
              </w:rPr>
            </w:pPr>
            <w:r w:rsidRPr="009A0525">
              <w:rPr>
                <w:rFonts w:cs="Arial"/>
                <w:b w:val="0"/>
                <w:bCs w:val="0"/>
                <w:sz w:val="20"/>
                <w:szCs w:val="20"/>
              </w:rPr>
              <w:t>Human Rights</w:t>
            </w:r>
          </w:p>
        </w:tc>
        <w:tc>
          <w:tcPr>
            <w:tcW w:w="4961" w:type="dxa"/>
            <w:shd w:val="clear" w:color="auto" w:fill="F2F2F2" w:themeFill="background1" w:themeFillShade="F2"/>
          </w:tcPr>
          <w:p w14:paraId="5C0D7899" w14:textId="77777777" w:rsidR="003440D7" w:rsidRPr="009A0525" w:rsidRDefault="003440D7" w:rsidP="001F1536">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9A0525">
              <w:rPr>
                <w:rFonts w:cs="Arial"/>
                <w:b w:val="0"/>
                <w:bCs w:val="0"/>
                <w:sz w:val="20"/>
                <w:szCs w:val="20"/>
              </w:rPr>
              <w:t>Describe here the considerations and concerns in relation to the programme/policy for the selected groups. These may be positive, negative or neutral if there is no impact.</w:t>
            </w:r>
          </w:p>
        </w:tc>
        <w:tc>
          <w:tcPr>
            <w:tcW w:w="4560" w:type="dxa"/>
            <w:shd w:val="clear" w:color="auto" w:fill="F2F2F2" w:themeFill="background1" w:themeFillShade="F2"/>
          </w:tcPr>
          <w:p w14:paraId="0BD863D8" w14:textId="77777777" w:rsidR="003440D7" w:rsidRPr="009A0525" w:rsidRDefault="003440D7" w:rsidP="001F1536">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9A0525">
              <w:rPr>
                <w:rFonts w:cs="Arial"/>
                <w:b w:val="0"/>
                <w:bCs w:val="0"/>
                <w:sz w:val="20"/>
                <w:szCs w:val="20"/>
              </w:rPr>
              <w:t>If you have identified any negative impacts, describe here suggested mitigations to inform the actions needed to reduce inequalities.</w:t>
            </w:r>
          </w:p>
        </w:tc>
      </w:tr>
      <w:tr w:rsidR="003440D7" w:rsidRPr="009A0525" w14:paraId="31B90778"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8F89C39"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 xml:space="preserve">A2. </w:t>
            </w:r>
            <w:r w:rsidRPr="009A0525">
              <w:rPr>
                <w:rFonts w:cs="Helvetica"/>
                <w:b w:val="0"/>
                <w:bCs w:val="0"/>
                <w:color w:val="29597D"/>
                <w:sz w:val="20"/>
                <w:szCs w:val="20"/>
              </w:rPr>
              <w:t xml:space="preserve">Right to life </w:t>
            </w:r>
            <w:r w:rsidRPr="009A0525">
              <w:rPr>
                <w:rFonts w:cs="Helvetica"/>
                <w:b w:val="0"/>
                <w:bCs w:val="0"/>
                <w:sz w:val="20"/>
                <w:szCs w:val="20"/>
              </w:rPr>
              <w:t>(e.g. Pain relief, DNAR, competency, suicide prevention)</w:t>
            </w:r>
          </w:p>
        </w:tc>
        <w:tc>
          <w:tcPr>
            <w:tcW w:w="4961" w:type="dxa"/>
          </w:tcPr>
          <w:p w14:paraId="148DF4AD" w14:textId="261547A0" w:rsidR="003440D7" w:rsidRPr="006B2589"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Cs/>
                <w:sz w:val="20"/>
                <w:szCs w:val="20"/>
                <w:lang w:eastAsia="en-GB"/>
              </w:rPr>
            </w:pPr>
            <w:r w:rsidRPr="006B2589">
              <w:rPr>
                <w:rFonts w:cs="Arial"/>
                <w:bCs/>
                <w:sz w:val="20"/>
                <w:szCs w:val="20"/>
                <w:lang w:eastAsia="en-GB"/>
              </w:rPr>
              <w:t xml:space="preserve">Positive impact: </w:t>
            </w:r>
            <w:r>
              <w:rPr>
                <w:rFonts w:cs="Arial"/>
                <w:bCs/>
                <w:sz w:val="20"/>
                <w:szCs w:val="20"/>
                <w:lang w:eastAsia="en-GB"/>
              </w:rPr>
              <w:t xml:space="preserve">implementation of this </w:t>
            </w:r>
            <w:proofErr w:type="gramStart"/>
            <w:r>
              <w:rPr>
                <w:rFonts w:cs="Arial"/>
                <w:bCs/>
                <w:sz w:val="20"/>
                <w:szCs w:val="20"/>
                <w:lang w:eastAsia="en-GB"/>
              </w:rPr>
              <w:t>policy</w:t>
            </w:r>
            <w:r w:rsidR="00065770">
              <w:rPr>
                <w:rFonts w:cs="Arial"/>
                <w:bCs/>
                <w:sz w:val="20"/>
                <w:szCs w:val="20"/>
                <w:lang w:eastAsia="en-GB"/>
              </w:rPr>
              <w:t xml:space="preserve">  </w:t>
            </w:r>
            <w:r>
              <w:rPr>
                <w:rFonts w:cs="Arial"/>
                <w:bCs/>
                <w:sz w:val="20"/>
                <w:szCs w:val="20"/>
                <w:lang w:eastAsia="en-GB"/>
              </w:rPr>
              <w:t>minimises</w:t>
            </w:r>
            <w:proofErr w:type="gramEnd"/>
            <w:r>
              <w:rPr>
                <w:rFonts w:cs="Arial"/>
                <w:bCs/>
                <w:sz w:val="20"/>
                <w:szCs w:val="20"/>
                <w:lang w:eastAsia="en-GB"/>
              </w:rPr>
              <w:t xml:space="preserve"> the risk associated with long-lie falls and the subsequent impact on quality of life and mortality.</w:t>
            </w:r>
          </w:p>
        </w:tc>
        <w:tc>
          <w:tcPr>
            <w:tcW w:w="4560" w:type="dxa"/>
          </w:tcPr>
          <w:p w14:paraId="24F04CA4"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69B92C75"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226062E8" w14:textId="77777777" w:rsidR="003440D7" w:rsidRPr="009A0525" w:rsidRDefault="003440D7" w:rsidP="001F1536">
            <w:pPr>
              <w:pStyle w:val="CCGAParatext"/>
              <w:rPr>
                <w:rFonts w:cs="Arial"/>
                <w:b w:val="0"/>
                <w:bCs w:val="0"/>
                <w:sz w:val="20"/>
                <w:szCs w:val="20"/>
                <w:lang w:eastAsia="en-GB"/>
              </w:rPr>
            </w:pPr>
            <w:r w:rsidRPr="009A0525">
              <w:rPr>
                <w:rFonts w:cs="Helvetica"/>
                <w:b w:val="0"/>
                <w:bCs w:val="0"/>
                <w:sz w:val="20"/>
                <w:szCs w:val="20"/>
              </w:rPr>
              <w:t xml:space="preserve">A3. </w:t>
            </w:r>
            <w:r w:rsidRPr="009A0525">
              <w:rPr>
                <w:rFonts w:cs="Helvetica"/>
                <w:b w:val="0"/>
                <w:bCs w:val="0"/>
                <w:color w:val="29597D"/>
                <w:sz w:val="20"/>
                <w:szCs w:val="20"/>
              </w:rPr>
              <w:t xml:space="preserve">Prohibition of torture, inhuman or degrading treatment </w:t>
            </w:r>
            <w:r w:rsidRPr="009A0525">
              <w:rPr>
                <w:rFonts w:cs="Helvetica"/>
                <w:b w:val="0"/>
                <w:bCs w:val="0"/>
                <w:sz w:val="20"/>
                <w:szCs w:val="20"/>
              </w:rPr>
              <w:t>(e.g., Service Users unable to consent)</w:t>
            </w:r>
          </w:p>
        </w:tc>
        <w:tc>
          <w:tcPr>
            <w:tcW w:w="4961" w:type="dxa"/>
          </w:tcPr>
          <w:p w14:paraId="66BF2FB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6B2589">
              <w:rPr>
                <w:rFonts w:cs="Arial"/>
                <w:bCs/>
                <w:sz w:val="20"/>
                <w:szCs w:val="20"/>
                <w:lang w:eastAsia="en-GB"/>
              </w:rPr>
              <w:t xml:space="preserve">Positive impact: </w:t>
            </w:r>
            <w:r>
              <w:rPr>
                <w:rFonts w:cs="Arial"/>
                <w:bCs/>
                <w:sz w:val="20"/>
                <w:szCs w:val="20"/>
                <w:lang w:eastAsia="en-GB"/>
              </w:rPr>
              <w:t>implementation of this policy/procedure minimises the risk associated with long-lie falls and ensures a suitable response is expedited, minimising fear and discomfort.</w:t>
            </w:r>
          </w:p>
        </w:tc>
        <w:tc>
          <w:tcPr>
            <w:tcW w:w="4560" w:type="dxa"/>
          </w:tcPr>
          <w:p w14:paraId="4F96DD6B"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152281D9"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FEB757E" w14:textId="77777777" w:rsidR="003440D7" w:rsidRPr="009A0525" w:rsidRDefault="003440D7" w:rsidP="001F1536">
            <w:pPr>
              <w:pStyle w:val="CCGAParatext"/>
              <w:rPr>
                <w:rFonts w:cs="Arial"/>
                <w:b w:val="0"/>
                <w:bCs w:val="0"/>
                <w:sz w:val="20"/>
                <w:szCs w:val="20"/>
                <w:lang w:eastAsia="en-GB"/>
              </w:rPr>
            </w:pPr>
            <w:r w:rsidRPr="009A0525">
              <w:rPr>
                <w:rFonts w:cs="Helvetica"/>
                <w:b w:val="0"/>
                <w:bCs w:val="0"/>
                <w:sz w:val="20"/>
                <w:szCs w:val="20"/>
              </w:rPr>
              <w:t xml:space="preserve">A4. </w:t>
            </w:r>
            <w:r w:rsidRPr="009A0525">
              <w:rPr>
                <w:rFonts w:cs="Helvetica"/>
                <w:b w:val="0"/>
                <w:bCs w:val="0"/>
                <w:color w:val="29597D"/>
                <w:sz w:val="20"/>
                <w:szCs w:val="20"/>
              </w:rPr>
              <w:t xml:space="preserve">Prohibition of slavery and forced labour </w:t>
            </w:r>
            <w:r w:rsidRPr="009A0525">
              <w:rPr>
                <w:rFonts w:cs="Helvetica"/>
                <w:b w:val="0"/>
                <w:bCs w:val="0"/>
                <w:sz w:val="20"/>
                <w:szCs w:val="20"/>
              </w:rPr>
              <w:t>(e.g., Safeguarding vulnerable patients’ policies)</w:t>
            </w:r>
          </w:p>
        </w:tc>
        <w:tc>
          <w:tcPr>
            <w:tcW w:w="4961" w:type="dxa"/>
          </w:tcPr>
          <w:p w14:paraId="07075FAF" w14:textId="77777777" w:rsidR="003440D7" w:rsidRPr="00195AFE"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Cs/>
                <w:sz w:val="20"/>
                <w:szCs w:val="20"/>
                <w:lang w:eastAsia="en-GB"/>
              </w:rPr>
            </w:pPr>
            <w:r w:rsidRPr="00195AFE">
              <w:rPr>
                <w:rFonts w:cs="Arial"/>
                <w:bCs/>
                <w:sz w:val="20"/>
                <w:szCs w:val="20"/>
                <w:lang w:eastAsia="en-GB"/>
              </w:rPr>
              <w:t>Neutral</w:t>
            </w:r>
          </w:p>
        </w:tc>
        <w:tc>
          <w:tcPr>
            <w:tcW w:w="4560" w:type="dxa"/>
          </w:tcPr>
          <w:p w14:paraId="40EE6842"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20AE0EC6"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67DC1B73" w14:textId="77777777" w:rsidR="003440D7" w:rsidRPr="009A0525" w:rsidRDefault="003440D7" w:rsidP="001F1536">
            <w:pPr>
              <w:pStyle w:val="CCGAParatext"/>
              <w:rPr>
                <w:rFonts w:cs="Arial"/>
                <w:b w:val="0"/>
                <w:bCs w:val="0"/>
                <w:sz w:val="20"/>
                <w:szCs w:val="20"/>
                <w:lang w:eastAsia="en-GB"/>
              </w:rPr>
            </w:pPr>
            <w:r w:rsidRPr="009A0525">
              <w:rPr>
                <w:rFonts w:cs="Helvetica"/>
                <w:b w:val="0"/>
                <w:bCs w:val="0"/>
                <w:sz w:val="20"/>
                <w:szCs w:val="20"/>
              </w:rPr>
              <w:t>A5.</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liberty and security </w:t>
            </w:r>
            <w:r w:rsidRPr="009A0525">
              <w:rPr>
                <w:rFonts w:cs="Helvetica"/>
                <w:b w:val="0"/>
                <w:bCs w:val="0"/>
                <w:sz w:val="20"/>
                <w:szCs w:val="20"/>
              </w:rPr>
              <w:t>(e.g., Deprivation of liberty protocols, security policy)</w:t>
            </w:r>
          </w:p>
        </w:tc>
        <w:tc>
          <w:tcPr>
            <w:tcW w:w="4961" w:type="dxa"/>
          </w:tcPr>
          <w:p w14:paraId="0215FEC5"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20DB85F0"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179ADFD5"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0799074"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A6&amp;7.</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Rights to a fair trial; and no punishment without law </w:t>
            </w:r>
            <w:r w:rsidRPr="009A0525">
              <w:rPr>
                <w:rFonts w:cs="Helvetica"/>
                <w:b w:val="0"/>
                <w:bCs w:val="0"/>
                <w:sz w:val="20"/>
                <w:szCs w:val="20"/>
              </w:rPr>
              <w:t>(e.g., MHA Tribunals)</w:t>
            </w:r>
          </w:p>
        </w:tc>
        <w:tc>
          <w:tcPr>
            <w:tcW w:w="4961" w:type="dxa"/>
          </w:tcPr>
          <w:p w14:paraId="62A799C4"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52C2D60F"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243CC02E"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2B89B4D0" w14:textId="77777777" w:rsidR="003440D7" w:rsidRPr="009A0525" w:rsidRDefault="003440D7" w:rsidP="001F1536">
            <w:pPr>
              <w:pStyle w:val="CCGAParatext"/>
              <w:rPr>
                <w:rFonts w:cs="Arial"/>
                <w:b w:val="0"/>
                <w:bCs w:val="0"/>
                <w:sz w:val="20"/>
                <w:szCs w:val="20"/>
                <w:lang w:eastAsia="en-GB"/>
              </w:rPr>
            </w:pPr>
            <w:r w:rsidRPr="009A0525">
              <w:rPr>
                <w:rFonts w:cs="Helvetica"/>
                <w:b w:val="0"/>
                <w:bCs w:val="0"/>
                <w:sz w:val="20"/>
                <w:szCs w:val="20"/>
              </w:rPr>
              <w:t>A8.</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respect for private and family life, home and correspondence </w:t>
            </w:r>
            <w:r w:rsidRPr="009A0525">
              <w:rPr>
                <w:rFonts w:cs="Helvetica"/>
                <w:b w:val="0"/>
                <w:bCs w:val="0"/>
                <w:sz w:val="20"/>
                <w:szCs w:val="20"/>
              </w:rPr>
              <w:t>(e.g., Confidentiality, access to family etc)</w:t>
            </w:r>
          </w:p>
        </w:tc>
        <w:tc>
          <w:tcPr>
            <w:tcW w:w="4961" w:type="dxa"/>
          </w:tcPr>
          <w:p w14:paraId="5CEA5F82" w14:textId="2A240074"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roofErr w:type="gramStart"/>
            <w:r w:rsidRPr="00195AFE">
              <w:rPr>
                <w:rFonts w:cs="Arial"/>
                <w:bCs/>
                <w:sz w:val="20"/>
                <w:szCs w:val="20"/>
                <w:lang w:eastAsia="en-GB"/>
              </w:rPr>
              <w:t>Neutral</w:t>
            </w:r>
            <w:r>
              <w:rPr>
                <w:rFonts w:cs="Arial"/>
                <w:bCs/>
                <w:sz w:val="20"/>
                <w:szCs w:val="20"/>
                <w:lang w:eastAsia="en-GB"/>
              </w:rPr>
              <w:t xml:space="preserve"> –responders</w:t>
            </w:r>
            <w:proofErr w:type="gramEnd"/>
            <w:r>
              <w:rPr>
                <w:rFonts w:cs="Arial"/>
                <w:bCs/>
                <w:sz w:val="20"/>
                <w:szCs w:val="20"/>
                <w:lang w:eastAsia="en-GB"/>
              </w:rPr>
              <w:t xml:space="preserve"> are expected to gain informed consent (including highlighting volunteer status) and patients retain right to refuse consent. </w:t>
            </w:r>
            <w:r w:rsidRPr="00803046">
              <w:rPr>
                <w:rFonts w:cs="Arial"/>
                <w:bCs/>
                <w:sz w:val="20"/>
                <w:szCs w:val="20"/>
                <w:lang w:eastAsia="en-GB"/>
              </w:rPr>
              <w:t xml:space="preserve">Positive impact maintained through informed consent, clear explanation of volunteer status, and adherence to dignity and privacy requirements </w:t>
            </w:r>
            <w:proofErr w:type="gramStart"/>
            <w:r w:rsidRPr="00803046">
              <w:rPr>
                <w:rFonts w:cs="Arial"/>
                <w:bCs/>
                <w:sz w:val="20"/>
                <w:szCs w:val="20"/>
                <w:lang w:eastAsia="en-GB"/>
              </w:rPr>
              <w:t>at all times</w:t>
            </w:r>
            <w:proofErr w:type="gramEnd"/>
            <w:r w:rsidRPr="00803046">
              <w:rPr>
                <w:rFonts w:cs="Arial"/>
                <w:bCs/>
                <w:sz w:val="20"/>
                <w:szCs w:val="20"/>
                <w:lang w:eastAsia="en-GB"/>
              </w:rPr>
              <w:t>.</w:t>
            </w:r>
          </w:p>
        </w:tc>
        <w:tc>
          <w:tcPr>
            <w:tcW w:w="4560" w:type="dxa"/>
          </w:tcPr>
          <w:p w14:paraId="265EF72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142AEEEB"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9A567D9"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lastRenderedPageBreak/>
              <w:t>A9.</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thought, conscience and religion </w:t>
            </w:r>
            <w:r w:rsidRPr="009A0525">
              <w:rPr>
                <w:rFonts w:cs="Helvetica"/>
                <w:b w:val="0"/>
                <w:bCs w:val="0"/>
                <w:sz w:val="20"/>
                <w:szCs w:val="20"/>
              </w:rPr>
              <w:t>(e.g., Animal-derived medicines/sacred space)</w:t>
            </w:r>
          </w:p>
        </w:tc>
        <w:tc>
          <w:tcPr>
            <w:tcW w:w="4961" w:type="dxa"/>
          </w:tcPr>
          <w:p w14:paraId="698DC014"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7E0EADB5"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7DCFB679"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E1C7214"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A10.</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expression </w:t>
            </w:r>
            <w:r w:rsidRPr="009A0525">
              <w:rPr>
                <w:rFonts w:cs="Helvetica"/>
                <w:b w:val="0"/>
                <w:bCs w:val="0"/>
                <w:sz w:val="20"/>
                <w:szCs w:val="20"/>
              </w:rPr>
              <w:t>(e.g., Patient information or whistle-blowing policies)</w:t>
            </w:r>
          </w:p>
        </w:tc>
        <w:tc>
          <w:tcPr>
            <w:tcW w:w="4961" w:type="dxa"/>
          </w:tcPr>
          <w:p w14:paraId="345158C3"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2FC6EF1B"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1002DC6A"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24982DBB"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A11.</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assembly and association </w:t>
            </w:r>
            <w:r w:rsidRPr="009A0525">
              <w:rPr>
                <w:rFonts w:cs="Helvetica"/>
                <w:b w:val="0"/>
                <w:bCs w:val="0"/>
                <w:sz w:val="20"/>
                <w:szCs w:val="20"/>
              </w:rPr>
              <w:t>(e.g., Trade union recognition)</w:t>
            </w:r>
          </w:p>
        </w:tc>
        <w:tc>
          <w:tcPr>
            <w:tcW w:w="4961" w:type="dxa"/>
          </w:tcPr>
          <w:p w14:paraId="7D1F1674"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2CAD50D6"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55BEACD7"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8CE8A99"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A12.</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marry and found a family </w:t>
            </w:r>
            <w:r w:rsidRPr="009A0525">
              <w:rPr>
                <w:rFonts w:cs="Helvetica"/>
                <w:b w:val="0"/>
                <w:bCs w:val="0"/>
                <w:sz w:val="20"/>
                <w:szCs w:val="20"/>
              </w:rPr>
              <w:t>(e.g., fertility, pregnancy)</w:t>
            </w:r>
          </w:p>
        </w:tc>
        <w:tc>
          <w:tcPr>
            <w:tcW w:w="4961" w:type="dxa"/>
          </w:tcPr>
          <w:p w14:paraId="06A8035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76953928"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7254996F"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0EF990F2"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P1.A1.</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Protection of property </w:t>
            </w:r>
            <w:r w:rsidRPr="009A0525">
              <w:rPr>
                <w:rFonts w:cs="Helvetica"/>
                <w:b w:val="0"/>
                <w:bCs w:val="0"/>
                <w:sz w:val="20"/>
                <w:szCs w:val="20"/>
              </w:rPr>
              <w:t>(e.g., Service User property and belongings)</w:t>
            </w:r>
          </w:p>
        </w:tc>
        <w:tc>
          <w:tcPr>
            <w:tcW w:w="4961" w:type="dxa"/>
          </w:tcPr>
          <w:p w14:paraId="173A496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321F3582"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7AEFEF12"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328F3607" w14:textId="77777777" w:rsidR="003440D7" w:rsidRPr="009A0525" w:rsidRDefault="003440D7" w:rsidP="001F1536">
            <w:pPr>
              <w:pStyle w:val="CCGAParatext"/>
              <w:rPr>
                <w:rFonts w:eastAsia="Times New Roman" w:cs="Arial"/>
                <w:b w:val="0"/>
                <w:bCs w:val="0"/>
                <w:sz w:val="20"/>
                <w:szCs w:val="20"/>
                <w:lang w:eastAsia="en-GB"/>
              </w:rPr>
            </w:pPr>
            <w:r w:rsidRPr="009A0525">
              <w:rPr>
                <w:rFonts w:cs="Helvetica"/>
                <w:b w:val="0"/>
                <w:bCs w:val="0"/>
                <w:sz w:val="20"/>
                <w:szCs w:val="20"/>
              </w:rPr>
              <w:t>P1.A2.</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education </w:t>
            </w:r>
            <w:r w:rsidRPr="009A0525">
              <w:rPr>
                <w:rFonts w:cs="Helvetica"/>
                <w:b w:val="0"/>
                <w:bCs w:val="0"/>
                <w:sz w:val="20"/>
                <w:szCs w:val="20"/>
              </w:rPr>
              <w:t>(e.g., accessible information)</w:t>
            </w:r>
          </w:p>
        </w:tc>
        <w:tc>
          <w:tcPr>
            <w:tcW w:w="4961" w:type="dxa"/>
          </w:tcPr>
          <w:p w14:paraId="3B188A60"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37816AEE"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3440D7" w:rsidRPr="009A0525" w14:paraId="322DA22C" w14:textId="77777777" w:rsidTr="00065770">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61B371BC" w14:textId="77777777" w:rsidR="003440D7" w:rsidRPr="009A0525" w:rsidRDefault="003440D7" w:rsidP="001F1536">
            <w:pPr>
              <w:pStyle w:val="CCGAParatext"/>
              <w:rPr>
                <w:rFonts w:cs="Arial"/>
                <w:b w:val="0"/>
                <w:bCs w:val="0"/>
                <w:sz w:val="20"/>
                <w:szCs w:val="20"/>
                <w:lang w:eastAsia="en-GB"/>
              </w:rPr>
            </w:pPr>
            <w:r w:rsidRPr="009A0525">
              <w:rPr>
                <w:rFonts w:cs="Helvetica"/>
                <w:b w:val="0"/>
                <w:bCs w:val="0"/>
                <w:sz w:val="20"/>
                <w:szCs w:val="20"/>
              </w:rPr>
              <w:t>P1.A3.</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free elections </w:t>
            </w:r>
            <w:r w:rsidRPr="009A0525">
              <w:rPr>
                <w:rFonts w:cs="Helvetica"/>
                <w:b w:val="0"/>
                <w:bCs w:val="0"/>
                <w:sz w:val="20"/>
                <w:szCs w:val="20"/>
              </w:rPr>
              <w:t>(e.g., Foundation Trust governors)</w:t>
            </w:r>
          </w:p>
        </w:tc>
        <w:tc>
          <w:tcPr>
            <w:tcW w:w="4961" w:type="dxa"/>
          </w:tcPr>
          <w:p w14:paraId="3C1F1E3A"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195AFE">
              <w:rPr>
                <w:rFonts w:cs="Arial"/>
                <w:bCs/>
                <w:sz w:val="20"/>
                <w:szCs w:val="20"/>
                <w:lang w:eastAsia="en-GB"/>
              </w:rPr>
              <w:t>Neutral</w:t>
            </w:r>
          </w:p>
        </w:tc>
        <w:tc>
          <w:tcPr>
            <w:tcW w:w="4560" w:type="dxa"/>
          </w:tcPr>
          <w:p w14:paraId="10D76440" w14:textId="77777777" w:rsidR="003440D7" w:rsidRPr="009A0525" w:rsidRDefault="003440D7" w:rsidP="001F1536">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bl>
    <w:p w14:paraId="1BB3514C" w14:textId="77777777" w:rsidR="003440D7" w:rsidRDefault="003440D7" w:rsidP="003440D7">
      <w:pPr>
        <w:spacing w:after="160" w:line="259" w:lineRule="auto"/>
        <w:rPr>
          <w:rFonts w:cs="Arial"/>
          <w:color w:val="0070C0"/>
          <w:lang w:eastAsia="en-GB"/>
        </w:rPr>
      </w:pPr>
    </w:p>
    <w:p w14:paraId="1803B999" w14:textId="77777777" w:rsidR="0030013A" w:rsidRDefault="0030013A" w:rsidP="003440D7">
      <w:pPr>
        <w:spacing w:after="160" w:line="259" w:lineRule="auto"/>
        <w:rPr>
          <w:rFonts w:cs="Arial"/>
          <w:color w:val="0070C0"/>
          <w:lang w:eastAsia="en-GB"/>
        </w:rPr>
      </w:pPr>
    </w:p>
    <w:p w14:paraId="64EE9205" w14:textId="77777777" w:rsidR="0030013A" w:rsidRDefault="0030013A" w:rsidP="003440D7">
      <w:pPr>
        <w:spacing w:after="160" w:line="259" w:lineRule="auto"/>
        <w:rPr>
          <w:rFonts w:cs="Arial"/>
          <w:color w:val="0070C0"/>
          <w:lang w:eastAsia="en-GB"/>
        </w:rPr>
      </w:pPr>
    </w:p>
    <w:p w14:paraId="479B9F84" w14:textId="77777777" w:rsidR="0030013A" w:rsidRDefault="0030013A" w:rsidP="003440D7">
      <w:pPr>
        <w:spacing w:after="160" w:line="259" w:lineRule="auto"/>
        <w:rPr>
          <w:rFonts w:cs="Arial"/>
          <w:color w:val="0070C0"/>
          <w:lang w:eastAsia="en-GB"/>
        </w:rPr>
      </w:pPr>
    </w:p>
    <w:p w14:paraId="0C5EF2D8" w14:textId="77777777" w:rsidR="0030013A" w:rsidRDefault="0030013A" w:rsidP="003440D7">
      <w:pPr>
        <w:spacing w:after="160" w:line="259" w:lineRule="auto"/>
        <w:rPr>
          <w:rFonts w:cs="Arial"/>
          <w:color w:val="0070C0"/>
          <w:lang w:eastAsia="en-GB"/>
        </w:rPr>
      </w:pPr>
    </w:p>
    <w:p w14:paraId="09465957" w14:textId="77777777" w:rsidR="0030013A" w:rsidRDefault="0030013A" w:rsidP="003440D7">
      <w:pPr>
        <w:spacing w:after="160" w:line="259" w:lineRule="auto"/>
        <w:rPr>
          <w:rFonts w:cs="Arial"/>
          <w:color w:val="0070C0"/>
          <w:lang w:eastAsia="en-GB"/>
        </w:rPr>
      </w:pPr>
    </w:p>
    <w:p w14:paraId="494285E2" w14:textId="77777777" w:rsidR="003440D7" w:rsidRPr="00044D2B" w:rsidRDefault="003440D7" w:rsidP="003440D7">
      <w:pPr>
        <w:pStyle w:val="ListParagraph"/>
        <w:widowControl w:val="0"/>
        <w:numPr>
          <w:ilvl w:val="0"/>
          <w:numId w:val="32"/>
        </w:numPr>
        <w:autoSpaceDE w:val="0"/>
        <w:autoSpaceDN w:val="0"/>
        <w:spacing w:after="160" w:line="259" w:lineRule="auto"/>
        <w:contextualSpacing w:val="0"/>
        <w:rPr>
          <w:b/>
          <w:bCs/>
          <w:color w:val="0070C0"/>
        </w:rPr>
      </w:pPr>
      <w:r w:rsidRPr="00044D2B">
        <w:rPr>
          <w:b/>
          <w:bCs/>
          <w:color w:val="0070C0"/>
        </w:rPr>
        <w:lastRenderedPageBreak/>
        <w:t>Action plan and monitoring arrangements</w:t>
      </w:r>
    </w:p>
    <w:p w14:paraId="18170E90" w14:textId="77777777" w:rsidR="003440D7" w:rsidRPr="00044D2B" w:rsidRDefault="003440D7" w:rsidP="003440D7">
      <w:pPr>
        <w:spacing w:line="252" w:lineRule="auto"/>
        <w:rPr>
          <w:rFonts w:cs="Arial"/>
          <w:lang w:eastAsia="en-GB"/>
        </w:rPr>
      </w:pPr>
      <w:r w:rsidRPr="00044D2B">
        <w:rPr>
          <w:rFonts w:cs="Arial"/>
          <w:lang w:eastAsia="en-GB"/>
        </w:rPr>
        <w:t>Insert your action plan here (example layout provided). This should be based on mitigations recommended in 6.2</w:t>
      </w:r>
      <w:r>
        <w:rPr>
          <w:rFonts w:cs="Arial"/>
          <w:lang w:eastAsia="en-GB"/>
        </w:rPr>
        <w:t xml:space="preserve">.  </w:t>
      </w:r>
      <w:r w:rsidRPr="00044D2B">
        <w:rPr>
          <w:rFonts w:cs="Arial"/>
          <w:lang w:eastAsia="en-GB"/>
        </w:rPr>
        <w:t>Involve your key stakeholders in monitoring progress against the actions above</w:t>
      </w:r>
      <w:r>
        <w:rPr>
          <w:rFonts w:cs="Arial"/>
          <w:lang w:eastAsia="en-GB"/>
        </w:rPr>
        <w:t>, and add more rows as required.</w:t>
      </w:r>
    </w:p>
    <w:tbl>
      <w:tblPr>
        <w:tblW w:w="14593" w:type="dxa"/>
        <w:tblLook w:val="04A0" w:firstRow="1" w:lastRow="0" w:firstColumn="1" w:lastColumn="0" w:noHBand="0" w:noVBand="1"/>
      </w:tblPr>
      <w:tblGrid>
        <w:gridCol w:w="683"/>
        <w:gridCol w:w="1300"/>
        <w:gridCol w:w="4793"/>
        <w:gridCol w:w="1204"/>
        <w:gridCol w:w="1430"/>
        <w:gridCol w:w="5183"/>
      </w:tblGrid>
      <w:tr w:rsidR="003440D7" w:rsidRPr="00044D2B" w14:paraId="70F484E5" w14:textId="77777777" w:rsidTr="001F1536">
        <w:trPr>
          <w:trHeight w:val="519"/>
        </w:trPr>
        <w:tc>
          <w:tcPr>
            <w:tcW w:w="14593" w:type="dxa"/>
            <w:gridSpan w:val="6"/>
            <w:tcBorders>
              <w:top w:val="single" w:sz="8" w:space="0" w:color="auto"/>
              <w:left w:val="single" w:sz="8" w:space="0" w:color="auto"/>
              <w:bottom w:val="single" w:sz="8" w:space="0" w:color="auto"/>
              <w:right w:val="single" w:sz="8" w:space="0" w:color="000000"/>
            </w:tcBorders>
            <w:vAlign w:val="center"/>
            <w:hideMark/>
          </w:tcPr>
          <w:p w14:paraId="47966D86" w14:textId="77777777" w:rsidR="003440D7" w:rsidRPr="00044D2B" w:rsidRDefault="003440D7" w:rsidP="001F1536">
            <w:pPr>
              <w:jc w:val="center"/>
              <w:rPr>
                <w:rFonts w:cs="Arial"/>
                <w:color w:val="00B0F0"/>
                <w:lang w:eastAsia="en-GB"/>
              </w:rPr>
            </w:pPr>
            <w:r w:rsidRPr="00044D2B">
              <w:rPr>
                <w:rFonts w:cs="Arial"/>
                <w:lang w:eastAsia="en-GB"/>
              </w:rPr>
              <w:t>ACTIONS &amp; DECISIONS TRACKER</w:t>
            </w:r>
          </w:p>
        </w:tc>
      </w:tr>
      <w:tr w:rsidR="003440D7" w:rsidRPr="00044D2B" w14:paraId="2F7AAB34" w14:textId="77777777" w:rsidTr="001F1536">
        <w:trPr>
          <w:trHeight w:val="254"/>
        </w:trPr>
        <w:tc>
          <w:tcPr>
            <w:tcW w:w="14593" w:type="dxa"/>
            <w:gridSpan w:val="6"/>
            <w:tcBorders>
              <w:top w:val="single" w:sz="8" w:space="0" w:color="auto"/>
              <w:left w:val="single" w:sz="8" w:space="0" w:color="auto"/>
              <w:bottom w:val="single" w:sz="4" w:space="0" w:color="auto"/>
              <w:right w:val="single" w:sz="8" w:space="0" w:color="000000"/>
            </w:tcBorders>
            <w:vAlign w:val="center"/>
            <w:hideMark/>
          </w:tcPr>
          <w:p w14:paraId="6F9B2F83" w14:textId="77777777" w:rsidR="003440D7" w:rsidRPr="00044D2B" w:rsidRDefault="003440D7" w:rsidP="001F1536">
            <w:pPr>
              <w:rPr>
                <w:rFonts w:cs="Arial"/>
                <w:color w:val="000000"/>
                <w:lang w:eastAsia="en-GB"/>
              </w:rPr>
            </w:pPr>
            <w:r w:rsidRPr="00044D2B">
              <w:rPr>
                <w:rFonts w:cs="Arial"/>
                <w:color w:val="000000"/>
                <w:lang w:eastAsia="en-GB"/>
              </w:rPr>
              <w:t xml:space="preserve">What is being assessed:  </w:t>
            </w:r>
            <w:r>
              <w:rPr>
                <w:rFonts w:cs="Arial"/>
                <w:color w:val="000000"/>
                <w:lang w:eastAsia="en-GB"/>
              </w:rPr>
              <w:t>Ongoing monitoring to ensure no emerging risk of inequality.</w:t>
            </w:r>
          </w:p>
        </w:tc>
      </w:tr>
      <w:tr w:rsidR="003440D7" w:rsidRPr="00044D2B" w14:paraId="6BE94D20" w14:textId="77777777" w:rsidTr="001F1536">
        <w:trPr>
          <w:trHeight w:val="420"/>
        </w:trPr>
        <w:tc>
          <w:tcPr>
            <w:tcW w:w="14593" w:type="dxa"/>
            <w:gridSpan w:val="6"/>
            <w:tcBorders>
              <w:top w:val="single" w:sz="4" w:space="0" w:color="auto"/>
              <w:left w:val="single" w:sz="8" w:space="0" w:color="auto"/>
              <w:bottom w:val="single" w:sz="8" w:space="0" w:color="auto"/>
              <w:right w:val="single" w:sz="8" w:space="0" w:color="000000"/>
            </w:tcBorders>
            <w:vAlign w:val="center"/>
          </w:tcPr>
          <w:p w14:paraId="1006B20D" w14:textId="77777777" w:rsidR="003440D7" w:rsidRPr="00044D2B" w:rsidDel="004B4E81" w:rsidRDefault="003440D7" w:rsidP="001F1536">
            <w:pPr>
              <w:rPr>
                <w:rFonts w:cs="Arial"/>
                <w:color w:val="000000"/>
                <w:lang w:eastAsia="en-GB"/>
              </w:rPr>
            </w:pPr>
            <w:r w:rsidRPr="00044D2B">
              <w:rPr>
                <w:rFonts w:cs="Arial"/>
                <w:color w:val="000000"/>
                <w:lang w:eastAsia="en-GB"/>
              </w:rPr>
              <w:t>What management group will have oversight of these actions (this should be the group which has oversight of the change)</w:t>
            </w:r>
            <w:r>
              <w:rPr>
                <w:rFonts w:cs="Arial"/>
                <w:color w:val="000000"/>
                <w:lang w:eastAsia="en-GB"/>
              </w:rPr>
              <w:t>: PPG</w:t>
            </w:r>
          </w:p>
        </w:tc>
      </w:tr>
      <w:tr w:rsidR="003440D7" w:rsidRPr="00044D2B" w14:paraId="45243738" w14:textId="77777777" w:rsidTr="001F1536">
        <w:trPr>
          <w:trHeight w:val="990"/>
        </w:trPr>
        <w:tc>
          <w:tcPr>
            <w:tcW w:w="644" w:type="dxa"/>
            <w:tcBorders>
              <w:top w:val="nil"/>
              <w:left w:val="single" w:sz="8" w:space="0" w:color="auto"/>
              <w:bottom w:val="nil"/>
              <w:right w:val="single" w:sz="4" w:space="0" w:color="auto"/>
            </w:tcBorders>
            <w:shd w:val="clear" w:color="000000" w:fill="0070C0"/>
            <w:vAlign w:val="center"/>
            <w:hideMark/>
          </w:tcPr>
          <w:p w14:paraId="7040AB80" w14:textId="77777777" w:rsidR="003440D7" w:rsidRPr="00044D2B" w:rsidRDefault="003440D7" w:rsidP="001F1536">
            <w:pPr>
              <w:jc w:val="center"/>
              <w:rPr>
                <w:rFonts w:cs="Arial"/>
                <w:color w:val="FFFFFF"/>
                <w:lang w:eastAsia="en-GB"/>
              </w:rPr>
            </w:pPr>
            <w:r w:rsidRPr="00044D2B">
              <w:rPr>
                <w:rFonts w:cs="Arial"/>
                <w:color w:val="FFFFFF"/>
                <w:lang w:eastAsia="en-GB"/>
              </w:rPr>
              <w:t>Item</w:t>
            </w:r>
          </w:p>
        </w:tc>
        <w:tc>
          <w:tcPr>
            <w:tcW w:w="1300" w:type="dxa"/>
            <w:tcBorders>
              <w:top w:val="nil"/>
              <w:left w:val="nil"/>
              <w:bottom w:val="nil"/>
              <w:right w:val="single" w:sz="4" w:space="0" w:color="auto"/>
            </w:tcBorders>
            <w:shd w:val="clear" w:color="000000" w:fill="0070C0"/>
            <w:vAlign w:val="center"/>
            <w:hideMark/>
          </w:tcPr>
          <w:p w14:paraId="7C003679" w14:textId="77777777" w:rsidR="003440D7" w:rsidRPr="00044D2B" w:rsidRDefault="003440D7" w:rsidP="001F1536">
            <w:pPr>
              <w:jc w:val="center"/>
              <w:rPr>
                <w:rFonts w:cs="Arial"/>
                <w:color w:val="FFFFFF"/>
                <w:lang w:eastAsia="en-GB"/>
              </w:rPr>
            </w:pPr>
            <w:r w:rsidRPr="00044D2B">
              <w:rPr>
                <w:rFonts w:cs="Arial"/>
                <w:color w:val="FFFFFF"/>
                <w:lang w:eastAsia="en-GB"/>
              </w:rPr>
              <w:t>Initiation Date</w:t>
            </w:r>
          </w:p>
        </w:tc>
        <w:tc>
          <w:tcPr>
            <w:tcW w:w="4852" w:type="dxa"/>
            <w:tcBorders>
              <w:top w:val="single" w:sz="4" w:space="0" w:color="auto"/>
              <w:left w:val="nil"/>
              <w:bottom w:val="nil"/>
              <w:right w:val="single" w:sz="4" w:space="0" w:color="auto"/>
            </w:tcBorders>
            <w:shd w:val="clear" w:color="000000" w:fill="0070C0"/>
            <w:vAlign w:val="center"/>
            <w:hideMark/>
          </w:tcPr>
          <w:p w14:paraId="2F36AC3B" w14:textId="77777777" w:rsidR="003440D7" w:rsidRPr="00044D2B" w:rsidRDefault="003440D7" w:rsidP="001F1536">
            <w:pPr>
              <w:jc w:val="center"/>
              <w:rPr>
                <w:rFonts w:cs="Arial"/>
                <w:color w:val="FFFFFF"/>
                <w:lang w:eastAsia="en-GB"/>
              </w:rPr>
            </w:pPr>
            <w:r w:rsidRPr="00044D2B">
              <w:rPr>
                <w:rFonts w:cs="Arial"/>
                <w:color w:val="FFFFFF"/>
                <w:lang w:eastAsia="en-GB"/>
              </w:rPr>
              <w:t>Action/Item</w:t>
            </w:r>
          </w:p>
        </w:tc>
        <w:tc>
          <w:tcPr>
            <w:tcW w:w="1134" w:type="dxa"/>
            <w:tcBorders>
              <w:top w:val="nil"/>
              <w:left w:val="nil"/>
              <w:bottom w:val="nil"/>
              <w:right w:val="single" w:sz="4" w:space="0" w:color="auto"/>
            </w:tcBorders>
            <w:shd w:val="clear" w:color="000000" w:fill="0070C0"/>
            <w:vAlign w:val="center"/>
            <w:hideMark/>
          </w:tcPr>
          <w:p w14:paraId="5F7A190A" w14:textId="77777777" w:rsidR="003440D7" w:rsidRPr="00044D2B" w:rsidRDefault="003440D7" w:rsidP="001F1536">
            <w:pPr>
              <w:jc w:val="center"/>
              <w:rPr>
                <w:rFonts w:cs="Arial"/>
                <w:color w:val="FFFFFF"/>
                <w:lang w:eastAsia="en-GB"/>
              </w:rPr>
            </w:pPr>
            <w:r w:rsidRPr="00044D2B">
              <w:rPr>
                <w:rFonts w:cs="Arial"/>
                <w:color w:val="FFFFFF"/>
                <w:lang w:eastAsia="en-GB"/>
              </w:rPr>
              <w:t xml:space="preserve">Person </w:t>
            </w:r>
            <w:r w:rsidRPr="00044D2B">
              <w:rPr>
                <w:rFonts w:cs="Arial"/>
                <w:color w:val="FFFFFF"/>
                <w:lang w:eastAsia="en-GB"/>
              </w:rPr>
              <w:br/>
              <w:t>Actioning</w:t>
            </w:r>
          </w:p>
        </w:tc>
        <w:tc>
          <w:tcPr>
            <w:tcW w:w="1418" w:type="dxa"/>
            <w:tcBorders>
              <w:top w:val="nil"/>
              <w:left w:val="nil"/>
              <w:bottom w:val="nil"/>
              <w:right w:val="single" w:sz="4" w:space="0" w:color="auto"/>
            </w:tcBorders>
            <w:shd w:val="clear" w:color="000000" w:fill="0070C0"/>
            <w:vAlign w:val="center"/>
            <w:hideMark/>
          </w:tcPr>
          <w:p w14:paraId="6A1F8B04" w14:textId="77777777" w:rsidR="003440D7" w:rsidRPr="00044D2B" w:rsidRDefault="003440D7" w:rsidP="001F1536">
            <w:pPr>
              <w:jc w:val="center"/>
              <w:rPr>
                <w:rFonts w:cs="Arial"/>
                <w:color w:val="FFFFFF"/>
                <w:lang w:eastAsia="en-GB"/>
              </w:rPr>
            </w:pPr>
            <w:r w:rsidRPr="00044D2B">
              <w:rPr>
                <w:rFonts w:cs="Arial"/>
                <w:color w:val="FFFFFF"/>
                <w:lang w:eastAsia="en-GB"/>
              </w:rPr>
              <w:t>Target Completion Date</w:t>
            </w:r>
          </w:p>
        </w:tc>
        <w:tc>
          <w:tcPr>
            <w:tcW w:w="5245" w:type="dxa"/>
            <w:tcBorders>
              <w:top w:val="nil"/>
              <w:left w:val="nil"/>
              <w:bottom w:val="nil"/>
              <w:right w:val="single" w:sz="4" w:space="0" w:color="auto"/>
            </w:tcBorders>
            <w:shd w:val="clear" w:color="000000" w:fill="0070C0"/>
            <w:hideMark/>
          </w:tcPr>
          <w:p w14:paraId="5725185B" w14:textId="77777777" w:rsidR="003440D7" w:rsidRPr="00044D2B" w:rsidRDefault="003440D7" w:rsidP="001F1536">
            <w:pPr>
              <w:jc w:val="center"/>
              <w:rPr>
                <w:rFonts w:cs="Arial"/>
                <w:color w:val="FFFFFF"/>
                <w:lang w:eastAsia="en-GB"/>
              </w:rPr>
            </w:pPr>
            <w:r w:rsidRPr="00044D2B">
              <w:rPr>
                <w:rFonts w:cs="Arial"/>
                <w:color w:val="FFFFFF"/>
                <w:lang w:eastAsia="en-GB"/>
              </w:rPr>
              <w:t>Update/Notes</w:t>
            </w:r>
          </w:p>
        </w:tc>
      </w:tr>
      <w:tr w:rsidR="003440D7" w:rsidRPr="00044D2B" w14:paraId="12216EE4" w14:textId="77777777" w:rsidTr="001F1536">
        <w:trPr>
          <w:trHeight w:val="600"/>
        </w:trPr>
        <w:tc>
          <w:tcPr>
            <w:tcW w:w="644" w:type="dxa"/>
            <w:tcBorders>
              <w:top w:val="single" w:sz="4" w:space="0" w:color="auto"/>
              <w:left w:val="single" w:sz="4" w:space="0" w:color="auto"/>
              <w:bottom w:val="single" w:sz="4" w:space="0" w:color="auto"/>
              <w:right w:val="single" w:sz="4" w:space="0" w:color="auto"/>
            </w:tcBorders>
            <w:vAlign w:val="center"/>
            <w:hideMark/>
          </w:tcPr>
          <w:p w14:paraId="19674938" w14:textId="77777777" w:rsidR="003440D7" w:rsidRPr="00044D2B" w:rsidRDefault="003440D7" w:rsidP="001F1536">
            <w:pPr>
              <w:jc w:val="center"/>
              <w:rPr>
                <w:rFonts w:cs="Arial"/>
                <w:lang w:eastAsia="en-GB"/>
              </w:rPr>
            </w:pPr>
            <w:r w:rsidRPr="00044D2B">
              <w:rPr>
                <w:rFonts w:cs="Arial"/>
                <w:lang w:eastAsia="en-GB"/>
              </w:rPr>
              <w:t>1</w:t>
            </w:r>
          </w:p>
        </w:tc>
        <w:tc>
          <w:tcPr>
            <w:tcW w:w="1300" w:type="dxa"/>
            <w:tcBorders>
              <w:top w:val="single" w:sz="4" w:space="0" w:color="auto"/>
              <w:left w:val="nil"/>
              <w:bottom w:val="single" w:sz="4" w:space="0" w:color="auto"/>
              <w:right w:val="single" w:sz="4" w:space="0" w:color="auto"/>
            </w:tcBorders>
            <w:noWrap/>
            <w:vAlign w:val="center"/>
            <w:hideMark/>
          </w:tcPr>
          <w:p w14:paraId="2A70B612" w14:textId="77777777" w:rsidR="003440D7" w:rsidRPr="00044D2B" w:rsidRDefault="003440D7" w:rsidP="001F1536">
            <w:pPr>
              <w:jc w:val="center"/>
              <w:rPr>
                <w:rFonts w:cs="Arial"/>
                <w:color w:val="000000"/>
                <w:lang w:eastAsia="en-GB"/>
              </w:rPr>
            </w:pPr>
            <w:r>
              <w:rPr>
                <w:rFonts w:cs="Arial"/>
                <w:color w:val="000000"/>
                <w:lang w:eastAsia="en-GB"/>
              </w:rPr>
              <w:t>From policy approval</w:t>
            </w:r>
          </w:p>
        </w:tc>
        <w:tc>
          <w:tcPr>
            <w:tcW w:w="4852" w:type="dxa"/>
            <w:tcBorders>
              <w:top w:val="single" w:sz="4" w:space="0" w:color="auto"/>
              <w:left w:val="nil"/>
              <w:bottom w:val="single" w:sz="4" w:space="0" w:color="auto"/>
              <w:right w:val="single" w:sz="4" w:space="0" w:color="auto"/>
            </w:tcBorders>
            <w:vAlign w:val="center"/>
            <w:hideMark/>
          </w:tcPr>
          <w:p w14:paraId="4105AA61" w14:textId="77777777" w:rsidR="003440D7" w:rsidRPr="00044D2B" w:rsidRDefault="003440D7" w:rsidP="001F1536">
            <w:pPr>
              <w:rPr>
                <w:rFonts w:cs="Arial"/>
                <w:color w:val="000000"/>
                <w:lang w:eastAsia="en-GB"/>
              </w:rPr>
            </w:pPr>
            <w:r>
              <w:rPr>
                <w:rFonts w:cs="Arial"/>
                <w:color w:val="000000"/>
                <w:lang w:eastAsia="en-GB"/>
              </w:rPr>
              <w:t>Regular monitoring of escalations, clinical outcomes and patient feedback to ensure no emerging inequalities across protected groups.</w:t>
            </w:r>
          </w:p>
        </w:tc>
        <w:tc>
          <w:tcPr>
            <w:tcW w:w="1134" w:type="dxa"/>
            <w:tcBorders>
              <w:top w:val="single" w:sz="4" w:space="0" w:color="auto"/>
              <w:left w:val="nil"/>
              <w:bottom w:val="single" w:sz="4" w:space="0" w:color="auto"/>
              <w:right w:val="single" w:sz="4" w:space="0" w:color="auto"/>
            </w:tcBorders>
            <w:noWrap/>
            <w:vAlign w:val="center"/>
            <w:hideMark/>
          </w:tcPr>
          <w:p w14:paraId="11661CEA" w14:textId="77777777" w:rsidR="003440D7" w:rsidRPr="00044D2B" w:rsidRDefault="003440D7" w:rsidP="001F1536">
            <w:pPr>
              <w:jc w:val="center"/>
              <w:rPr>
                <w:rFonts w:cs="Arial"/>
                <w:color w:val="000000"/>
                <w:lang w:eastAsia="en-GB"/>
              </w:rPr>
            </w:pPr>
            <w:r>
              <w:rPr>
                <w:rFonts w:cs="Arial"/>
                <w:color w:val="000000"/>
                <w:lang w:eastAsia="en-GB"/>
              </w:rPr>
              <w:t>Danny Dixon</w:t>
            </w:r>
          </w:p>
        </w:tc>
        <w:tc>
          <w:tcPr>
            <w:tcW w:w="1418" w:type="dxa"/>
            <w:tcBorders>
              <w:top w:val="single" w:sz="4" w:space="0" w:color="auto"/>
              <w:left w:val="nil"/>
              <w:bottom w:val="single" w:sz="4" w:space="0" w:color="auto"/>
              <w:right w:val="single" w:sz="4" w:space="0" w:color="auto"/>
            </w:tcBorders>
            <w:noWrap/>
            <w:vAlign w:val="center"/>
            <w:hideMark/>
          </w:tcPr>
          <w:p w14:paraId="156FF009" w14:textId="77777777" w:rsidR="003440D7" w:rsidRPr="00044D2B" w:rsidRDefault="003440D7" w:rsidP="001F1536">
            <w:pPr>
              <w:jc w:val="center"/>
              <w:rPr>
                <w:rFonts w:cs="Arial"/>
                <w:color w:val="000000"/>
                <w:lang w:eastAsia="en-GB"/>
              </w:rPr>
            </w:pPr>
            <w:r>
              <w:rPr>
                <w:rFonts w:cs="Arial"/>
                <w:color w:val="000000"/>
                <w:lang w:eastAsia="en-GB"/>
              </w:rPr>
              <w:t>Ongoing</w:t>
            </w:r>
          </w:p>
        </w:tc>
        <w:tc>
          <w:tcPr>
            <w:tcW w:w="5245" w:type="dxa"/>
            <w:tcBorders>
              <w:top w:val="single" w:sz="4" w:space="0" w:color="auto"/>
              <w:left w:val="nil"/>
              <w:bottom w:val="single" w:sz="4" w:space="0" w:color="auto"/>
              <w:right w:val="single" w:sz="4" w:space="0" w:color="auto"/>
            </w:tcBorders>
            <w:hideMark/>
          </w:tcPr>
          <w:p w14:paraId="02585780" w14:textId="77777777" w:rsidR="003440D7" w:rsidRPr="00044D2B" w:rsidRDefault="003440D7" w:rsidP="001F1536">
            <w:pPr>
              <w:rPr>
                <w:rFonts w:cs="Arial"/>
                <w:color w:val="000000"/>
                <w:lang w:eastAsia="en-GB"/>
              </w:rPr>
            </w:pPr>
          </w:p>
        </w:tc>
      </w:tr>
      <w:tr w:rsidR="003440D7" w:rsidRPr="00044D2B" w14:paraId="69AC22EC" w14:textId="77777777" w:rsidTr="001F1536">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27A7ECCF" w14:textId="77777777" w:rsidR="003440D7" w:rsidRPr="00044D2B" w:rsidRDefault="003440D7" w:rsidP="001F1536">
            <w:pPr>
              <w:jc w:val="center"/>
              <w:rPr>
                <w:rFonts w:cs="Arial"/>
                <w:lang w:eastAsia="en-GB"/>
              </w:rPr>
            </w:pPr>
            <w:r w:rsidRPr="00044D2B">
              <w:rPr>
                <w:rFonts w:cs="Arial"/>
                <w:lang w:eastAsia="en-GB"/>
              </w:rPr>
              <w:t>2</w:t>
            </w:r>
          </w:p>
        </w:tc>
        <w:tc>
          <w:tcPr>
            <w:tcW w:w="1300" w:type="dxa"/>
            <w:tcBorders>
              <w:top w:val="single" w:sz="4" w:space="0" w:color="auto"/>
              <w:left w:val="nil"/>
              <w:bottom w:val="single" w:sz="4" w:space="0" w:color="auto"/>
              <w:right w:val="single" w:sz="4" w:space="0" w:color="auto"/>
            </w:tcBorders>
            <w:noWrap/>
            <w:vAlign w:val="center"/>
          </w:tcPr>
          <w:p w14:paraId="703492B8" w14:textId="77777777" w:rsidR="003440D7" w:rsidRPr="00044D2B" w:rsidRDefault="003440D7" w:rsidP="001F1536">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2BED8EA9" w14:textId="77777777" w:rsidR="003440D7" w:rsidRPr="00044D2B" w:rsidRDefault="003440D7" w:rsidP="001F1536">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5386BFF0" w14:textId="77777777" w:rsidR="003440D7" w:rsidRPr="00044D2B" w:rsidRDefault="003440D7" w:rsidP="001F1536">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737E2C28" w14:textId="77777777" w:rsidR="003440D7" w:rsidRPr="00044D2B" w:rsidRDefault="003440D7" w:rsidP="001F1536">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4A70EFCB" w14:textId="77777777" w:rsidR="003440D7" w:rsidRPr="00044D2B" w:rsidRDefault="003440D7" w:rsidP="001F1536">
            <w:pPr>
              <w:rPr>
                <w:rFonts w:cs="Arial"/>
                <w:color w:val="000000"/>
                <w:lang w:eastAsia="en-GB"/>
              </w:rPr>
            </w:pPr>
          </w:p>
        </w:tc>
      </w:tr>
      <w:tr w:rsidR="003440D7" w:rsidRPr="00044D2B" w14:paraId="565E1CFD" w14:textId="77777777" w:rsidTr="001F1536">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0BC4B252" w14:textId="77777777" w:rsidR="003440D7" w:rsidRPr="00044D2B" w:rsidRDefault="003440D7" w:rsidP="001F1536">
            <w:pPr>
              <w:jc w:val="center"/>
              <w:rPr>
                <w:rFonts w:cs="Arial"/>
                <w:lang w:eastAsia="en-GB"/>
              </w:rPr>
            </w:pPr>
            <w:r w:rsidRPr="00044D2B">
              <w:rPr>
                <w:rFonts w:cs="Arial"/>
                <w:lang w:eastAsia="en-GB"/>
              </w:rPr>
              <w:t>3</w:t>
            </w:r>
          </w:p>
        </w:tc>
        <w:tc>
          <w:tcPr>
            <w:tcW w:w="1300" w:type="dxa"/>
            <w:tcBorders>
              <w:top w:val="single" w:sz="4" w:space="0" w:color="auto"/>
              <w:left w:val="nil"/>
              <w:bottom w:val="single" w:sz="4" w:space="0" w:color="auto"/>
              <w:right w:val="single" w:sz="4" w:space="0" w:color="auto"/>
            </w:tcBorders>
            <w:noWrap/>
            <w:vAlign w:val="center"/>
          </w:tcPr>
          <w:p w14:paraId="13F9AD90" w14:textId="77777777" w:rsidR="003440D7" w:rsidRPr="00044D2B" w:rsidRDefault="003440D7" w:rsidP="001F1536">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6C842282" w14:textId="77777777" w:rsidR="003440D7" w:rsidRPr="00044D2B" w:rsidRDefault="003440D7" w:rsidP="001F1536">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242CD415" w14:textId="77777777" w:rsidR="003440D7" w:rsidRPr="00044D2B" w:rsidRDefault="003440D7" w:rsidP="001F1536">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66D0F109" w14:textId="77777777" w:rsidR="003440D7" w:rsidRPr="00044D2B" w:rsidRDefault="003440D7" w:rsidP="001F1536">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78BBC414" w14:textId="77777777" w:rsidR="003440D7" w:rsidRPr="00044D2B" w:rsidRDefault="003440D7" w:rsidP="001F1536">
            <w:pPr>
              <w:rPr>
                <w:rFonts w:cs="Arial"/>
                <w:color w:val="000000"/>
                <w:lang w:eastAsia="en-GB"/>
              </w:rPr>
            </w:pPr>
          </w:p>
        </w:tc>
      </w:tr>
      <w:tr w:rsidR="003440D7" w:rsidRPr="00044D2B" w14:paraId="7A428978" w14:textId="77777777" w:rsidTr="001F1536">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738AFB23" w14:textId="77777777" w:rsidR="003440D7" w:rsidRPr="00044D2B" w:rsidRDefault="003440D7" w:rsidP="001F1536">
            <w:pPr>
              <w:jc w:val="center"/>
              <w:rPr>
                <w:rFonts w:cs="Arial"/>
                <w:lang w:eastAsia="en-GB"/>
              </w:rPr>
            </w:pPr>
            <w:r w:rsidRPr="00044D2B">
              <w:rPr>
                <w:rFonts w:cs="Arial"/>
                <w:lang w:eastAsia="en-GB"/>
              </w:rPr>
              <w:t>4</w:t>
            </w:r>
          </w:p>
        </w:tc>
        <w:tc>
          <w:tcPr>
            <w:tcW w:w="1300" w:type="dxa"/>
            <w:tcBorders>
              <w:top w:val="single" w:sz="4" w:space="0" w:color="auto"/>
              <w:left w:val="nil"/>
              <w:bottom w:val="single" w:sz="4" w:space="0" w:color="auto"/>
              <w:right w:val="single" w:sz="4" w:space="0" w:color="auto"/>
            </w:tcBorders>
            <w:noWrap/>
            <w:vAlign w:val="center"/>
          </w:tcPr>
          <w:p w14:paraId="35D156C4" w14:textId="77777777" w:rsidR="003440D7" w:rsidRPr="00044D2B" w:rsidRDefault="003440D7" w:rsidP="001F1536">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3AFA6A01" w14:textId="77777777" w:rsidR="003440D7" w:rsidRPr="00044D2B" w:rsidRDefault="003440D7" w:rsidP="001F1536">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33C1892C" w14:textId="77777777" w:rsidR="003440D7" w:rsidRPr="00044D2B" w:rsidRDefault="003440D7" w:rsidP="001F1536">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22B82A8A" w14:textId="77777777" w:rsidR="003440D7" w:rsidRPr="00044D2B" w:rsidRDefault="003440D7" w:rsidP="001F1536">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0E44A389" w14:textId="77777777" w:rsidR="003440D7" w:rsidRPr="00044D2B" w:rsidRDefault="003440D7" w:rsidP="001F1536">
            <w:pPr>
              <w:rPr>
                <w:rFonts w:cs="Arial"/>
                <w:color w:val="000000"/>
                <w:lang w:eastAsia="en-GB"/>
              </w:rPr>
            </w:pPr>
          </w:p>
        </w:tc>
      </w:tr>
    </w:tbl>
    <w:p w14:paraId="65A0C477" w14:textId="77777777" w:rsidR="003440D7" w:rsidRPr="00FC31FC" w:rsidRDefault="003440D7" w:rsidP="003440D7">
      <w:pPr>
        <w:rPr>
          <w:rFonts w:cs="Arial"/>
          <w:szCs w:val="24"/>
          <w:lang w:eastAsia="en-GB"/>
        </w:rPr>
      </w:pPr>
    </w:p>
    <w:p w14:paraId="639DFD71" w14:textId="77777777" w:rsidR="003440D7" w:rsidRDefault="003440D7" w:rsidP="003440D7">
      <w:pPr>
        <w:rPr>
          <w:rFonts w:cs="Arial"/>
          <w:szCs w:val="24"/>
          <w:lang w:eastAsia="en-GB"/>
        </w:rPr>
      </w:pPr>
      <w:r w:rsidRPr="00FC31FC">
        <w:rPr>
          <w:rFonts w:cs="Arial"/>
          <w:szCs w:val="24"/>
          <w:lang w:eastAsia="en-GB"/>
        </w:rPr>
        <w:t>The above actions should be added to the action log for the named management group.</w:t>
      </w:r>
    </w:p>
    <w:p w14:paraId="3F10CDB0" w14:textId="77777777" w:rsidR="003440D7" w:rsidRDefault="003440D7" w:rsidP="003440D7">
      <w:pPr>
        <w:rPr>
          <w:rFonts w:cs="Arial"/>
          <w:b/>
        </w:rPr>
      </w:pPr>
    </w:p>
    <w:p w14:paraId="625A78F7" w14:textId="77777777" w:rsidR="0030013A" w:rsidRDefault="0030013A" w:rsidP="003440D7">
      <w:pPr>
        <w:rPr>
          <w:rFonts w:cs="Arial"/>
          <w:b/>
        </w:rPr>
      </w:pPr>
    </w:p>
    <w:p w14:paraId="726888C6" w14:textId="77777777" w:rsidR="0030013A" w:rsidRDefault="0030013A" w:rsidP="003440D7">
      <w:pPr>
        <w:rPr>
          <w:rFonts w:cs="Arial"/>
          <w:b/>
        </w:rPr>
      </w:pPr>
    </w:p>
    <w:p w14:paraId="43B29AD8" w14:textId="77777777" w:rsidR="0030013A" w:rsidRDefault="0030013A" w:rsidP="003440D7">
      <w:pPr>
        <w:rPr>
          <w:rFonts w:cs="Arial"/>
          <w:b/>
        </w:rPr>
      </w:pPr>
    </w:p>
    <w:p w14:paraId="1BB43400" w14:textId="77777777" w:rsidR="0030013A" w:rsidRDefault="0030013A" w:rsidP="003440D7">
      <w:pPr>
        <w:rPr>
          <w:rFonts w:cs="Arial"/>
          <w:b/>
        </w:rPr>
      </w:pPr>
    </w:p>
    <w:p w14:paraId="6A81FA38" w14:textId="77777777" w:rsidR="0030013A" w:rsidRPr="00044D2B" w:rsidRDefault="0030013A" w:rsidP="003440D7">
      <w:pPr>
        <w:rPr>
          <w:rFonts w:cs="Arial"/>
          <w:b/>
        </w:rPr>
      </w:pPr>
    </w:p>
    <w:p w14:paraId="02AFB986" w14:textId="77777777" w:rsidR="003440D7" w:rsidRPr="00044D2B" w:rsidRDefault="003440D7" w:rsidP="003440D7">
      <w:pPr>
        <w:pStyle w:val="CCGAParatext"/>
        <w:tabs>
          <w:tab w:val="left" w:pos="8931"/>
        </w:tabs>
        <w:rPr>
          <w:rFonts w:cs="Arial"/>
          <w:sz w:val="22"/>
        </w:rPr>
      </w:pPr>
    </w:p>
    <w:p w14:paraId="2A6D0254" w14:textId="77777777" w:rsidR="003440D7" w:rsidRPr="00044D2B" w:rsidRDefault="003440D7" w:rsidP="003440D7">
      <w:pPr>
        <w:pStyle w:val="ListParagraph"/>
        <w:widowControl w:val="0"/>
        <w:numPr>
          <w:ilvl w:val="0"/>
          <w:numId w:val="32"/>
        </w:numPr>
        <w:autoSpaceDE w:val="0"/>
        <w:autoSpaceDN w:val="0"/>
        <w:ind w:left="0" w:firstLine="0"/>
        <w:contextualSpacing w:val="0"/>
        <w:rPr>
          <w:b/>
          <w:bCs/>
          <w:color w:val="0070C0"/>
        </w:rPr>
      </w:pPr>
      <w:r w:rsidRPr="00044D2B">
        <w:rPr>
          <w:b/>
          <w:bCs/>
          <w:color w:val="0070C0"/>
        </w:rPr>
        <w:lastRenderedPageBreak/>
        <w:t>Version Control</w:t>
      </w:r>
    </w:p>
    <w:p w14:paraId="32FF1048" w14:textId="77777777" w:rsidR="003440D7" w:rsidRPr="00044D2B" w:rsidRDefault="003440D7" w:rsidP="003440D7">
      <w:pPr>
        <w:pStyle w:val="ListParagraph"/>
        <w:ind w:left="0"/>
        <w:rPr>
          <w:b/>
          <w:color w:val="0070C0"/>
        </w:rPr>
      </w:pPr>
    </w:p>
    <w:tbl>
      <w:tblPr>
        <w:tblStyle w:val="GridTable1Light"/>
        <w:tblpPr w:leftFromText="180" w:rightFromText="180" w:vertAnchor="text" w:horzAnchor="margin" w:tblpY="13"/>
        <w:tblW w:w="0" w:type="auto"/>
        <w:tblLook w:val="04A0" w:firstRow="1" w:lastRow="0" w:firstColumn="1" w:lastColumn="0" w:noHBand="0" w:noVBand="1"/>
      </w:tblPr>
      <w:tblGrid>
        <w:gridCol w:w="2580"/>
        <w:gridCol w:w="5998"/>
        <w:gridCol w:w="3292"/>
        <w:gridCol w:w="2078"/>
      </w:tblGrid>
      <w:tr w:rsidR="003440D7" w:rsidRPr="00044D2B" w14:paraId="636A5217" w14:textId="77777777" w:rsidTr="001F1536">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830" w:type="dxa"/>
          </w:tcPr>
          <w:p w14:paraId="7E207ABC" w14:textId="77777777" w:rsidR="003440D7" w:rsidRPr="00044D2B" w:rsidRDefault="003440D7" w:rsidP="001F1536">
            <w:pPr>
              <w:rPr>
                <w:rFonts w:cs="Arial"/>
                <w:b w:val="0"/>
              </w:rPr>
            </w:pPr>
            <w:r w:rsidRPr="00044D2B">
              <w:rPr>
                <w:rFonts w:cs="Arial"/>
              </w:rPr>
              <w:t>Version Number</w:t>
            </w:r>
          </w:p>
        </w:tc>
        <w:tc>
          <w:tcPr>
            <w:tcW w:w="6663" w:type="dxa"/>
          </w:tcPr>
          <w:p w14:paraId="3F1183AB" w14:textId="77777777" w:rsidR="003440D7" w:rsidRPr="00044D2B" w:rsidRDefault="003440D7" w:rsidP="001F1536">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Purpose/Change</w:t>
            </w:r>
          </w:p>
        </w:tc>
        <w:tc>
          <w:tcPr>
            <w:tcW w:w="3685" w:type="dxa"/>
          </w:tcPr>
          <w:p w14:paraId="1DF51D40" w14:textId="77777777" w:rsidR="003440D7" w:rsidRPr="00044D2B" w:rsidRDefault="003440D7" w:rsidP="001F1536">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Author</w:t>
            </w:r>
          </w:p>
        </w:tc>
        <w:tc>
          <w:tcPr>
            <w:tcW w:w="2210" w:type="dxa"/>
          </w:tcPr>
          <w:p w14:paraId="5F6FE9D4" w14:textId="77777777" w:rsidR="003440D7" w:rsidRPr="00044D2B" w:rsidRDefault="003440D7" w:rsidP="001F1536">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Date</w:t>
            </w:r>
          </w:p>
        </w:tc>
      </w:tr>
      <w:tr w:rsidR="003440D7" w:rsidRPr="00044D2B" w14:paraId="680A7F15" w14:textId="77777777" w:rsidTr="001F1536">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00DC21AA" w14:textId="77777777" w:rsidR="003440D7" w:rsidRPr="00044D2B" w:rsidRDefault="003440D7" w:rsidP="001F1536">
            <w:pPr>
              <w:rPr>
                <w:rFonts w:cs="Arial"/>
              </w:rPr>
            </w:pPr>
            <w:r>
              <w:rPr>
                <w:rFonts w:cs="Arial"/>
              </w:rPr>
              <w:t>1</w:t>
            </w:r>
          </w:p>
        </w:tc>
        <w:tc>
          <w:tcPr>
            <w:tcW w:w="6663" w:type="dxa"/>
          </w:tcPr>
          <w:p w14:paraId="18041A0D" w14:textId="77777777" w:rsidR="003440D7" w:rsidRPr="00044D2B" w:rsidRDefault="003440D7" w:rsidP="001F1536">
            <w:pPr>
              <w:cnfStyle w:val="000000000000" w:firstRow="0" w:lastRow="0" w:firstColumn="0" w:lastColumn="0" w:oddVBand="0" w:evenVBand="0" w:oddHBand="0" w:evenHBand="0" w:firstRowFirstColumn="0" w:firstRowLastColumn="0" w:lastRowFirstColumn="0" w:lastRowLastColumn="0"/>
              <w:rPr>
                <w:rFonts w:cs="Arial"/>
              </w:rPr>
            </w:pPr>
            <w:r>
              <w:rPr>
                <w:rFonts w:cs="Arial"/>
              </w:rPr>
              <w:t>Review of Community Falls (Volunteer Responses) Policy and Procedure</w:t>
            </w:r>
          </w:p>
        </w:tc>
        <w:tc>
          <w:tcPr>
            <w:tcW w:w="3685" w:type="dxa"/>
          </w:tcPr>
          <w:p w14:paraId="70682D67" w14:textId="77777777" w:rsidR="003440D7" w:rsidRPr="00044D2B" w:rsidRDefault="003440D7" w:rsidP="001F1536">
            <w:pPr>
              <w:cnfStyle w:val="000000000000" w:firstRow="0" w:lastRow="0" w:firstColumn="0" w:lastColumn="0" w:oddVBand="0" w:evenVBand="0" w:oddHBand="0" w:evenHBand="0" w:firstRowFirstColumn="0" w:firstRowLastColumn="0" w:lastRowFirstColumn="0" w:lastRowLastColumn="0"/>
              <w:rPr>
                <w:rFonts w:cs="Arial"/>
              </w:rPr>
            </w:pPr>
            <w:r>
              <w:rPr>
                <w:rFonts w:cs="Arial"/>
              </w:rPr>
              <w:t>Danny Dixon</w:t>
            </w:r>
          </w:p>
        </w:tc>
        <w:tc>
          <w:tcPr>
            <w:tcW w:w="2210" w:type="dxa"/>
          </w:tcPr>
          <w:p w14:paraId="67A2B519" w14:textId="77777777" w:rsidR="003440D7" w:rsidRPr="00044D2B" w:rsidRDefault="003440D7" w:rsidP="001F1536">
            <w:pPr>
              <w:cnfStyle w:val="000000000000" w:firstRow="0" w:lastRow="0" w:firstColumn="0" w:lastColumn="0" w:oddVBand="0" w:evenVBand="0" w:oddHBand="0" w:evenHBand="0" w:firstRowFirstColumn="0" w:firstRowLastColumn="0" w:lastRowFirstColumn="0" w:lastRowLastColumn="0"/>
              <w:rPr>
                <w:rFonts w:cs="Arial"/>
              </w:rPr>
            </w:pPr>
            <w:r>
              <w:rPr>
                <w:rFonts w:cs="Arial"/>
              </w:rPr>
              <w:t>28/Oct/25</w:t>
            </w:r>
          </w:p>
        </w:tc>
      </w:tr>
      <w:tr w:rsidR="003440D7" w:rsidRPr="00044D2B" w14:paraId="07CA8FFA" w14:textId="77777777" w:rsidTr="001F1536">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75BA4442" w14:textId="77777777" w:rsidR="003440D7" w:rsidRPr="00044D2B" w:rsidRDefault="003440D7" w:rsidP="001F1536">
            <w:pPr>
              <w:rPr>
                <w:rFonts w:cs="Arial"/>
              </w:rPr>
            </w:pPr>
            <w:r>
              <w:rPr>
                <w:rFonts w:cs="Arial"/>
              </w:rPr>
              <w:t>2</w:t>
            </w:r>
          </w:p>
        </w:tc>
        <w:tc>
          <w:tcPr>
            <w:tcW w:w="6663" w:type="dxa"/>
          </w:tcPr>
          <w:p w14:paraId="05D98CF2" w14:textId="77777777" w:rsidR="003440D7" w:rsidRPr="00044D2B" w:rsidRDefault="003440D7" w:rsidP="001F1536">
            <w:pPr>
              <w:cnfStyle w:val="000000000000" w:firstRow="0" w:lastRow="0" w:firstColumn="0" w:lastColumn="0" w:oddVBand="0" w:evenVBand="0" w:oddHBand="0" w:evenHBand="0" w:firstRowFirstColumn="0" w:firstRowLastColumn="0" w:lastRowFirstColumn="0" w:lastRowLastColumn="0"/>
              <w:rPr>
                <w:rFonts w:cs="Arial"/>
              </w:rPr>
            </w:pPr>
            <w:r>
              <w:rPr>
                <w:rFonts w:cs="Arial"/>
              </w:rPr>
              <w:t>Update to EIA following review and feedback by Dawn Chilcott (Associate Director of OD and Culture)</w:t>
            </w:r>
          </w:p>
        </w:tc>
        <w:tc>
          <w:tcPr>
            <w:tcW w:w="3685" w:type="dxa"/>
          </w:tcPr>
          <w:p w14:paraId="0600C1DC" w14:textId="77777777" w:rsidR="003440D7" w:rsidRPr="00044D2B" w:rsidRDefault="003440D7" w:rsidP="001F1536">
            <w:pPr>
              <w:cnfStyle w:val="000000000000" w:firstRow="0" w:lastRow="0" w:firstColumn="0" w:lastColumn="0" w:oddVBand="0" w:evenVBand="0" w:oddHBand="0" w:evenHBand="0" w:firstRowFirstColumn="0" w:firstRowLastColumn="0" w:lastRowFirstColumn="0" w:lastRowLastColumn="0"/>
              <w:rPr>
                <w:rFonts w:cs="Arial"/>
              </w:rPr>
            </w:pPr>
            <w:r>
              <w:rPr>
                <w:rFonts w:cs="Arial"/>
              </w:rPr>
              <w:t>Danny Dixon</w:t>
            </w:r>
          </w:p>
        </w:tc>
        <w:tc>
          <w:tcPr>
            <w:tcW w:w="2210" w:type="dxa"/>
          </w:tcPr>
          <w:p w14:paraId="6619D343" w14:textId="77777777" w:rsidR="003440D7" w:rsidRPr="00044D2B" w:rsidRDefault="003440D7" w:rsidP="001F1536">
            <w:pPr>
              <w:cnfStyle w:val="000000000000" w:firstRow="0" w:lastRow="0" w:firstColumn="0" w:lastColumn="0" w:oddVBand="0" w:evenVBand="0" w:oddHBand="0" w:evenHBand="0" w:firstRowFirstColumn="0" w:firstRowLastColumn="0" w:lastRowFirstColumn="0" w:lastRowLastColumn="0"/>
              <w:rPr>
                <w:rFonts w:cs="Arial"/>
              </w:rPr>
            </w:pPr>
            <w:r>
              <w:rPr>
                <w:rFonts w:cs="Arial"/>
              </w:rPr>
              <w:t>12/Dec/25</w:t>
            </w:r>
          </w:p>
        </w:tc>
      </w:tr>
    </w:tbl>
    <w:p w14:paraId="01022D1C" w14:textId="77777777" w:rsidR="003440D7" w:rsidRPr="00044D2B" w:rsidRDefault="003440D7" w:rsidP="003440D7">
      <w:pPr>
        <w:tabs>
          <w:tab w:val="left" w:pos="8535"/>
        </w:tabs>
        <w:spacing w:before="120" w:after="120"/>
        <w:rPr>
          <w:rFonts w:cs="Arial"/>
        </w:rPr>
      </w:pPr>
      <w:r w:rsidRPr="00044D2B">
        <w:rPr>
          <w:rFonts w:cs="Arial"/>
        </w:rPr>
        <w:t xml:space="preserve">The above provides historical data about each update made to the EIA.  </w:t>
      </w:r>
    </w:p>
    <w:p w14:paraId="4B8942FE" w14:textId="77777777" w:rsidR="003440D7" w:rsidRDefault="003440D7" w:rsidP="003440D7">
      <w:pPr>
        <w:rPr>
          <w:rFonts w:cs="Arial"/>
        </w:rPr>
      </w:pPr>
      <w:r w:rsidRPr="00044D2B">
        <w:rPr>
          <w:rFonts w:cs="Arial"/>
        </w:rPr>
        <w:t xml:space="preserve">Please include the name of the author, date and notes about changes made – so that you </w:t>
      </w:r>
      <w:proofErr w:type="gramStart"/>
      <w:r w:rsidRPr="00044D2B">
        <w:rPr>
          <w:rFonts w:cs="Arial"/>
        </w:rPr>
        <w:t>are able to</w:t>
      </w:r>
      <w:proofErr w:type="gramEnd"/>
      <w:r w:rsidRPr="00044D2B">
        <w:rPr>
          <w:rFonts w:cs="Arial"/>
        </w:rPr>
        <w:t xml:space="preserve"> </w:t>
      </w:r>
      <w:proofErr w:type="gramStart"/>
      <w:r w:rsidRPr="00044D2B">
        <w:rPr>
          <w:rFonts w:cs="Arial"/>
        </w:rPr>
        <w:t>refer back</w:t>
      </w:r>
      <w:proofErr w:type="gramEnd"/>
      <w:r w:rsidRPr="00044D2B">
        <w:rPr>
          <w:rFonts w:cs="Arial"/>
        </w:rPr>
        <w:t xml:space="preserve"> to what changes have been made throughout this iterative process. </w:t>
      </w:r>
    </w:p>
    <w:p w14:paraId="6BDBF079" w14:textId="77777777" w:rsidR="003440D7" w:rsidRPr="00044D2B" w:rsidRDefault="003440D7" w:rsidP="003440D7">
      <w:pPr>
        <w:rPr>
          <w:rFonts w:cs="Arial"/>
        </w:rPr>
      </w:pPr>
      <w:r>
        <w:rPr>
          <w:rFonts w:cs="Arial"/>
        </w:rPr>
        <w:t xml:space="preserve">Please submit a completed version on the EIA section of Marval. The approval note from Marval can be used as evidence as approval. Once approved please send to </w:t>
      </w:r>
      <w:hyperlink r:id="rId13" w:history="1">
        <w:r w:rsidRPr="00EB0003">
          <w:rPr>
            <w:rStyle w:val="Hyperlink"/>
            <w:rFonts w:cs="Arial"/>
          </w:rPr>
          <w:t>polsandprocs@secamb.nhs.uk</w:t>
        </w:r>
      </w:hyperlink>
    </w:p>
    <w:p w14:paraId="55344CB0" w14:textId="2569711A" w:rsidR="009A44CD" w:rsidRDefault="009A44CD">
      <w:pPr>
        <w:rPr>
          <w:rFonts w:cs="Arial"/>
          <w:bCs/>
        </w:rPr>
      </w:pPr>
      <w:r>
        <w:rPr>
          <w:rFonts w:cs="Arial"/>
          <w:bCs/>
        </w:rPr>
        <w:br w:type="page"/>
      </w:r>
    </w:p>
    <w:p w14:paraId="39197302" w14:textId="77777777" w:rsidR="009A44CD" w:rsidRDefault="009A44CD" w:rsidP="009A44CD">
      <w:pPr>
        <w:spacing w:after="240"/>
        <w:ind w:left="1162"/>
        <w:rPr>
          <w:rFonts w:cs="Arial"/>
          <w:bCs/>
        </w:rPr>
        <w:sectPr w:rsidR="009A44CD" w:rsidSect="00181171">
          <w:type w:val="continuous"/>
          <w:pgSz w:w="16838" w:h="11906" w:orient="landscape" w:code="9"/>
          <w:pgMar w:top="1440" w:right="1440" w:bottom="1440" w:left="1440" w:header="709" w:footer="709" w:gutter="0"/>
          <w:cols w:space="708"/>
          <w:docGrid w:linePitch="360"/>
        </w:sectPr>
      </w:pPr>
    </w:p>
    <w:p w14:paraId="37203445" w14:textId="717FD644" w:rsidR="00080852" w:rsidRDefault="00761C8F" w:rsidP="003440D7">
      <w:pPr>
        <w:tabs>
          <w:tab w:val="left" w:pos="1843"/>
        </w:tabs>
        <w:spacing w:before="360" w:after="240"/>
        <w:outlineLvl w:val="0"/>
        <w:rPr>
          <w:rFonts w:cs="Arial"/>
          <w:b/>
          <w:bCs/>
          <w:sz w:val="28"/>
          <w:szCs w:val="28"/>
        </w:rPr>
      </w:pPr>
      <w:bookmarkStart w:id="44" w:name="_Toc45620372"/>
      <w:bookmarkEnd w:id="37"/>
      <w:r w:rsidRPr="00761C8F">
        <w:rPr>
          <w:rFonts w:cs="Arial"/>
          <w:b/>
          <w:bCs/>
          <w:sz w:val="28"/>
          <w:szCs w:val="28"/>
        </w:rPr>
        <w:lastRenderedPageBreak/>
        <w:t>Appendi</w:t>
      </w:r>
      <w:r w:rsidR="00BA34D7">
        <w:rPr>
          <w:rFonts w:cs="Arial"/>
          <w:b/>
          <w:bCs/>
          <w:sz w:val="28"/>
          <w:szCs w:val="28"/>
        </w:rPr>
        <w:t>x A:</w:t>
      </w:r>
      <w:r w:rsidR="00080852">
        <w:rPr>
          <w:rFonts w:cs="Arial"/>
          <w:b/>
          <w:bCs/>
          <w:sz w:val="28"/>
          <w:szCs w:val="28"/>
        </w:rPr>
        <w:t xml:space="preserve"> </w:t>
      </w:r>
      <w:bookmarkEnd w:id="44"/>
      <w:r w:rsidR="002F744A">
        <w:rPr>
          <w:rFonts w:cs="Arial"/>
          <w:b/>
          <w:bCs/>
          <w:sz w:val="28"/>
          <w:szCs w:val="28"/>
        </w:rPr>
        <w:t>Assessment of the Fallen Patient by Responders</w:t>
      </w:r>
    </w:p>
    <w:p w14:paraId="3D43A725" w14:textId="52E8BC56" w:rsidR="00E970C1" w:rsidRDefault="002F744A" w:rsidP="00080852">
      <w:pPr>
        <w:tabs>
          <w:tab w:val="left" w:pos="1162"/>
        </w:tabs>
        <w:spacing w:after="240"/>
        <w:rPr>
          <w:rFonts w:cs="Arial"/>
        </w:rPr>
      </w:pPr>
      <w:r>
        <w:rPr>
          <w:rFonts w:cs="Arial"/>
        </w:rPr>
        <w:t xml:space="preserve">Recommended approach for </w:t>
      </w:r>
      <w:r w:rsidR="008E25F9">
        <w:rPr>
          <w:rFonts w:cs="Arial"/>
        </w:rPr>
        <w:t>assessing</w:t>
      </w:r>
      <w:r>
        <w:rPr>
          <w:rFonts w:cs="Arial"/>
        </w:rPr>
        <w:t xml:space="preserve"> patients who have fallen.</w:t>
      </w:r>
    </w:p>
    <w:p w14:paraId="0ECB26B7" w14:textId="1EF70EDA" w:rsidR="002F744A" w:rsidRDefault="008E25F9" w:rsidP="002F744A">
      <w:pPr>
        <w:tabs>
          <w:tab w:val="left" w:pos="1162"/>
        </w:tabs>
        <w:spacing w:after="240"/>
        <w:jc w:val="center"/>
        <w:rPr>
          <w:rFonts w:cs="Arial"/>
        </w:rPr>
      </w:pPr>
      <w:r w:rsidRPr="008E25F9">
        <w:rPr>
          <w:rFonts w:cs="Arial"/>
          <w:noProof/>
        </w:rPr>
        <w:drawing>
          <wp:inline distT="0" distB="0" distL="0" distR="0" wp14:anchorId="1B746A21" wp14:editId="0C33169C">
            <wp:extent cx="5731510" cy="7499985"/>
            <wp:effectExtent l="0" t="0" r="0" b="5715"/>
            <wp:docPr id="2085023963" name="Picture 1" descr="A screenshot of a medical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23963" name="Picture 1" descr="A screenshot of a medical survey&#10;&#10;AI-generated content may be incorrect."/>
                    <pic:cNvPicPr/>
                  </pic:nvPicPr>
                  <pic:blipFill>
                    <a:blip r:embed="rId14"/>
                    <a:stretch>
                      <a:fillRect/>
                    </a:stretch>
                  </pic:blipFill>
                  <pic:spPr>
                    <a:xfrm>
                      <a:off x="0" y="0"/>
                      <a:ext cx="5731510" cy="7499985"/>
                    </a:xfrm>
                    <a:prstGeom prst="rect">
                      <a:avLst/>
                    </a:prstGeom>
                  </pic:spPr>
                </pic:pic>
              </a:graphicData>
            </a:graphic>
          </wp:inline>
        </w:drawing>
      </w:r>
    </w:p>
    <w:p w14:paraId="0A2CE5AC" w14:textId="2AC28766" w:rsidR="0078324D" w:rsidRDefault="0078324D">
      <w:pPr>
        <w:rPr>
          <w:rFonts w:cs="Arial"/>
        </w:rPr>
      </w:pPr>
      <w:r>
        <w:rPr>
          <w:rFonts w:cs="Arial"/>
        </w:rPr>
        <w:br w:type="page"/>
      </w:r>
    </w:p>
    <w:p w14:paraId="0637BA5D" w14:textId="68B3D007" w:rsidR="0078324D" w:rsidRDefault="0078324D" w:rsidP="0078324D">
      <w:pPr>
        <w:tabs>
          <w:tab w:val="left" w:pos="1843"/>
        </w:tabs>
        <w:spacing w:before="360" w:after="240"/>
        <w:ind w:left="1843" w:hanging="1843"/>
        <w:outlineLvl w:val="0"/>
        <w:rPr>
          <w:rFonts w:cs="Arial"/>
          <w:b/>
          <w:bCs/>
          <w:sz w:val="28"/>
          <w:szCs w:val="28"/>
        </w:rPr>
      </w:pPr>
      <w:r w:rsidRPr="00761C8F">
        <w:rPr>
          <w:rFonts w:cs="Arial"/>
          <w:b/>
          <w:bCs/>
          <w:sz w:val="28"/>
          <w:szCs w:val="28"/>
        </w:rPr>
        <w:lastRenderedPageBreak/>
        <w:t>Appendi</w:t>
      </w:r>
      <w:r>
        <w:rPr>
          <w:rFonts w:cs="Arial"/>
          <w:b/>
          <w:bCs/>
          <w:sz w:val="28"/>
          <w:szCs w:val="28"/>
        </w:rPr>
        <w:t>x B: Volunteer Responders Assessment and Management</w:t>
      </w:r>
    </w:p>
    <w:p w14:paraId="03D12CC6" w14:textId="3736111A" w:rsidR="002F744A" w:rsidRPr="00E970C1" w:rsidRDefault="00986118" w:rsidP="00080852">
      <w:pPr>
        <w:tabs>
          <w:tab w:val="left" w:pos="1162"/>
        </w:tabs>
        <w:spacing w:after="240"/>
        <w:rPr>
          <w:rFonts w:cs="Arial"/>
        </w:rPr>
      </w:pPr>
      <w:r w:rsidRPr="00986118">
        <w:rPr>
          <w:rFonts w:cs="Arial"/>
          <w:noProof/>
        </w:rPr>
        <w:drawing>
          <wp:inline distT="0" distB="0" distL="0" distR="0" wp14:anchorId="79576041" wp14:editId="55BC8E1B">
            <wp:extent cx="5731510" cy="7366635"/>
            <wp:effectExtent l="0" t="0" r="0" b="0"/>
            <wp:docPr id="184061722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17222" name="Picture 1" descr="A screenshot of a computer screen&#10;&#10;AI-generated content may be incorrect."/>
                    <pic:cNvPicPr/>
                  </pic:nvPicPr>
                  <pic:blipFill>
                    <a:blip r:embed="rId15"/>
                    <a:stretch>
                      <a:fillRect/>
                    </a:stretch>
                  </pic:blipFill>
                  <pic:spPr>
                    <a:xfrm>
                      <a:off x="0" y="0"/>
                      <a:ext cx="5731510" cy="7366635"/>
                    </a:xfrm>
                    <a:prstGeom prst="rect">
                      <a:avLst/>
                    </a:prstGeom>
                  </pic:spPr>
                </pic:pic>
              </a:graphicData>
            </a:graphic>
          </wp:inline>
        </w:drawing>
      </w:r>
    </w:p>
    <w:p w14:paraId="7F07F8C3" w14:textId="77777777" w:rsidR="00161685" w:rsidRDefault="00161685" w:rsidP="009A205C">
      <w:pPr>
        <w:tabs>
          <w:tab w:val="left" w:pos="1843"/>
        </w:tabs>
        <w:spacing w:before="360" w:after="240"/>
        <w:ind w:left="1843" w:hanging="1843"/>
        <w:outlineLvl w:val="0"/>
        <w:rPr>
          <w:rFonts w:cs="Arial"/>
        </w:rPr>
      </w:pPr>
      <w:bookmarkStart w:id="45" w:name="_Toc269875790"/>
      <w:bookmarkStart w:id="46" w:name="_Toc269875982"/>
      <w:bookmarkStart w:id="47" w:name="_Toc269876122"/>
      <w:bookmarkStart w:id="48" w:name="_Toc269876167"/>
      <w:bookmarkStart w:id="49" w:name="_Toc270316514"/>
      <w:bookmarkStart w:id="50" w:name="_Toc270316559"/>
      <w:bookmarkStart w:id="51" w:name="_Toc270316757"/>
      <w:bookmarkStart w:id="52" w:name="_Toc270316788"/>
      <w:bookmarkStart w:id="53" w:name="_Toc270316819"/>
      <w:bookmarkStart w:id="54" w:name="_Toc274661881"/>
      <w:bookmarkStart w:id="55" w:name="_Toc269875793"/>
      <w:bookmarkStart w:id="56" w:name="_Toc269875985"/>
      <w:bookmarkStart w:id="57" w:name="_Toc269876125"/>
      <w:bookmarkStart w:id="58" w:name="_Toc269876170"/>
      <w:bookmarkStart w:id="59" w:name="_Toc270316517"/>
      <w:bookmarkStart w:id="60" w:name="_Toc270316562"/>
      <w:bookmarkStart w:id="61" w:name="_Toc270316760"/>
      <w:bookmarkStart w:id="62" w:name="_Toc270316791"/>
      <w:bookmarkStart w:id="63" w:name="_Toc270316822"/>
      <w:bookmarkStart w:id="64" w:name="_Toc274661884"/>
      <w:bookmarkStart w:id="65" w:name="_Toc269875796"/>
      <w:bookmarkStart w:id="66" w:name="_Toc269875988"/>
      <w:bookmarkStart w:id="67" w:name="_Toc269876128"/>
      <w:bookmarkStart w:id="68" w:name="_Toc269876173"/>
      <w:bookmarkStart w:id="69" w:name="_Toc270316520"/>
      <w:bookmarkStart w:id="70" w:name="_Toc270316565"/>
      <w:bookmarkStart w:id="71" w:name="_Toc270316763"/>
      <w:bookmarkStart w:id="72" w:name="_Toc270316794"/>
      <w:bookmarkStart w:id="73" w:name="_Toc270316825"/>
      <w:bookmarkStart w:id="74" w:name="_Toc274661887"/>
      <w:bookmarkStart w:id="75" w:name="_Toc210802313"/>
      <w:bookmarkStart w:id="76" w:name="_Toc210802442"/>
      <w:bookmarkStart w:id="77" w:name="_Toc210802571"/>
      <w:bookmarkStart w:id="78" w:name="_Toc269875799"/>
      <w:bookmarkStart w:id="79" w:name="_Toc269875991"/>
      <w:bookmarkStart w:id="80" w:name="_Toc269876131"/>
      <w:bookmarkStart w:id="81" w:name="_Toc269876176"/>
      <w:bookmarkStart w:id="82" w:name="_Toc270316523"/>
      <w:bookmarkStart w:id="83" w:name="_Toc270316568"/>
      <w:bookmarkStart w:id="84" w:name="_Toc270316766"/>
      <w:bookmarkStart w:id="85" w:name="_Toc270316797"/>
      <w:bookmarkStart w:id="86" w:name="_Toc270316828"/>
      <w:bookmarkStart w:id="87" w:name="_Toc274661890"/>
      <w:bookmarkStart w:id="88" w:name="_Toc210802377"/>
      <w:bookmarkStart w:id="89" w:name="_Toc210802506"/>
      <w:bookmarkStart w:id="90" w:name="_Toc210802635"/>
      <w:bookmarkStart w:id="91" w:name="_Toc45620373"/>
      <w:bookmarkEnd w:id="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3728D4B" w14:textId="77777777" w:rsidR="00161685" w:rsidRDefault="00161685">
      <w:pPr>
        <w:rPr>
          <w:rFonts w:cs="Arial"/>
          <w:b/>
          <w:bCs/>
          <w:sz w:val="28"/>
          <w:szCs w:val="28"/>
        </w:rPr>
      </w:pPr>
      <w:r>
        <w:rPr>
          <w:rFonts w:cs="Arial"/>
          <w:b/>
          <w:bCs/>
          <w:sz w:val="28"/>
          <w:szCs w:val="28"/>
        </w:rPr>
        <w:br w:type="page"/>
      </w:r>
    </w:p>
    <w:p w14:paraId="3CEC1DCE" w14:textId="49C18E00" w:rsidR="009A205C" w:rsidRDefault="009A205C" w:rsidP="009A205C">
      <w:pPr>
        <w:tabs>
          <w:tab w:val="left" w:pos="1843"/>
        </w:tabs>
        <w:spacing w:before="360" w:after="240"/>
        <w:ind w:left="1843" w:hanging="1843"/>
        <w:outlineLvl w:val="0"/>
        <w:rPr>
          <w:rFonts w:cs="Arial"/>
          <w:b/>
          <w:bCs/>
          <w:sz w:val="28"/>
          <w:szCs w:val="28"/>
        </w:rPr>
      </w:pPr>
      <w:r w:rsidRPr="00761C8F">
        <w:rPr>
          <w:rFonts w:cs="Arial"/>
          <w:b/>
          <w:bCs/>
          <w:sz w:val="28"/>
          <w:szCs w:val="28"/>
        </w:rPr>
        <w:lastRenderedPageBreak/>
        <w:t>Appendi</w:t>
      </w:r>
      <w:r w:rsidR="00080852">
        <w:rPr>
          <w:rFonts w:cs="Arial"/>
          <w:b/>
          <w:bCs/>
          <w:sz w:val="28"/>
          <w:szCs w:val="28"/>
        </w:rPr>
        <w:t xml:space="preserve">x </w:t>
      </w:r>
      <w:r w:rsidR="00B50B5D">
        <w:rPr>
          <w:rFonts w:cs="Arial"/>
          <w:b/>
          <w:bCs/>
          <w:sz w:val="28"/>
          <w:szCs w:val="28"/>
        </w:rPr>
        <w:t>C</w:t>
      </w:r>
      <w:r w:rsidR="00080852">
        <w:rPr>
          <w:rFonts w:cs="Arial"/>
          <w:b/>
          <w:bCs/>
          <w:sz w:val="28"/>
          <w:szCs w:val="28"/>
        </w:rPr>
        <w:t xml:space="preserve">: </w:t>
      </w:r>
      <w:bookmarkEnd w:id="91"/>
      <w:r w:rsidR="005813B2">
        <w:rPr>
          <w:rFonts w:cs="Arial"/>
          <w:b/>
          <w:bCs/>
          <w:sz w:val="28"/>
          <w:szCs w:val="28"/>
        </w:rPr>
        <w:t>Recommended Worsening Care Advice</w:t>
      </w:r>
    </w:p>
    <w:p w14:paraId="16DC884A" w14:textId="4816FF45" w:rsidR="005813B2" w:rsidRDefault="005813B2" w:rsidP="00B50B5D">
      <w:pPr>
        <w:tabs>
          <w:tab w:val="left" w:pos="1162"/>
        </w:tabs>
        <w:spacing w:after="240"/>
        <w:rPr>
          <w:rFonts w:cs="Arial"/>
        </w:rPr>
      </w:pPr>
      <w:r>
        <w:rPr>
          <w:rFonts w:cs="Arial"/>
        </w:rPr>
        <w:t>The following worsening care advice</w:t>
      </w:r>
      <w:r w:rsidR="00D90C62">
        <w:rPr>
          <w:rFonts w:cs="Arial"/>
        </w:rPr>
        <w:t xml:space="preserve"> (WCA)</w:t>
      </w:r>
      <w:r>
        <w:rPr>
          <w:rFonts w:cs="Arial"/>
        </w:rPr>
        <w:t xml:space="preserve"> is recommended as a minimum for patients who have fallen if they are not being conveyed to a hospital or alternative </w:t>
      </w:r>
      <w:r w:rsidR="00D90C62">
        <w:rPr>
          <w:rFonts w:cs="Arial"/>
        </w:rPr>
        <w:t>safe environment</w:t>
      </w:r>
      <w:r w:rsidR="0067521F">
        <w:rPr>
          <w:rFonts w:cs="Arial"/>
        </w:rPr>
        <w:t xml:space="preserve">. It is noted that WCA is bespoke to each individual patient and their </w:t>
      </w:r>
      <w:proofErr w:type="gramStart"/>
      <w:r w:rsidR="0067521F">
        <w:rPr>
          <w:rFonts w:cs="Arial"/>
        </w:rPr>
        <w:t>needs, and</w:t>
      </w:r>
      <w:proofErr w:type="gramEnd"/>
      <w:r w:rsidR="0067521F">
        <w:rPr>
          <w:rFonts w:cs="Arial"/>
        </w:rPr>
        <w:t xml:space="preserve"> is the responsibility of the discharging clinician to confirm.</w:t>
      </w:r>
    </w:p>
    <w:p w14:paraId="397180C1" w14:textId="77777777" w:rsidR="005813B2" w:rsidRDefault="005813B2" w:rsidP="00B50B5D">
      <w:pPr>
        <w:tabs>
          <w:tab w:val="left" w:pos="1162"/>
        </w:tabs>
        <w:spacing w:after="240"/>
        <w:rPr>
          <w:rFonts w:cs="Arial"/>
        </w:rPr>
      </w:pPr>
    </w:p>
    <w:tbl>
      <w:tblPr>
        <w:tblStyle w:val="TableGrid"/>
        <w:tblW w:w="0" w:type="auto"/>
        <w:tblLook w:val="04A0" w:firstRow="1" w:lastRow="0" w:firstColumn="1" w:lastColumn="0" w:noHBand="0" w:noVBand="1"/>
      </w:tblPr>
      <w:tblGrid>
        <w:gridCol w:w="9016"/>
      </w:tblGrid>
      <w:tr w:rsidR="0067521F" w14:paraId="5470472D" w14:textId="77777777" w:rsidTr="0067521F">
        <w:tc>
          <w:tcPr>
            <w:tcW w:w="9016" w:type="dxa"/>
          </w:tcPr>
          <w:p w14:paraId="4E8B9E00" w14:textId="77777777" w:rsidR="0067521F" w:rsidRDefault="0067521F" w:rsidP="00B50B5D">
            <w:pPr>
              <w:tabs>
                <w:tab w:val="left" w:pos="1162"/>
              </w:tabs>
              <w:spacing w:after="240"/>
              <w:rPr>
                <w:rFonts w:cs="Arial"/>
              </w:rPr>
            </w:pPr>
          </w:p>
          <w:p w14:paraId="63C6C3E2" w14:textId="77777777" w:rsidR="0067521F" w:rsidRDefault="0067521F" w:rsidP="0067521F">
            <w:pPr>
              <w:tabs>
                <w:tab w:val="left" w:pos="1162"/>
              </w:tabs>
              <w:spacing w:after="240"/>
              <w:rPr>
                <w:rFonts w:cs="Arial"/>
              </w:rPr>
            </w:pPr>
            <w:r>
              <w:rPr>
                <w:rFonts w:cs="Arial"/>
              </w:rPr>
              <w:t>We are leaving you at home with your agreement BUT, after we have gone, if you experience any changes to your health as listed below:</w:t>
            </w:r>
          </w:p>
          <w:p w14:paraId="5B55A1BF" w14:textId="77777777" w:rsidR="0067521F" w:rsidRDefault="0067521F" w:rsidP="0067521F">
            <w:pPr>
              <w:pStyle w:val="ListParagraph"/>
              <w:numPr>
                <w:ilvl w:val="0"/>
                <w:numId w:val="29"/>
              </w:numPr>
              <w:tabs>
                <w:tab w:val="left" w:pos="1162"/>
              </w:tabs>
              <w:spacing w:after="240"/>
            </w:pPr>
            <w:r>
              <w:t>Any difficulty in breathing or shortness of breath</w:t>
            </w:r>
          </w:p>
          <w:p w14:paraId="7F2B04C2" w14:textId="77777777" w:rsidR="0067521F" w:rsidRDefault="0067521F" w:rsidP="0067521F">
            <w:pPr>
              <w:pStyle w:val="ListParagraph"/>
              <w:numPr>
                <w:ilvl w:val="0"/>
                <w:numId w:val="29"/>
              </w:numPr>
              <w:tabs>
                <w:tab w:val="left" w:pos="1162"/>
              </w:tabs>
              <w:spacing w:after="240"/>
            </w:pPr>
            <w:r>
              <w:t>Any new onset of severe pain</w:t>
            </w:r>
          </w:p>
          <w:p w14:paraId="306287A7" w14:textId="77777777" w:rsidR="0067521F" w:rsidRDefault="0067521F" w:rsidP="0067521F">
            <w:pPr>
              <w:pStyle w:val="ListParagraph"/>
              <w:numPr>
                <w:ilvl w:val="0"/>
                <w:numId w:val="29"/>
              </w:numPr>
              <w:tabs>
                <w:tab w:val="left" w:pos="1162"/>
              </w:tabs>
              <w:spacing w:after="240"/>
            </w:pPr>
            <w:r>
              <w:t>Any dizziness, feeling faint, or loss of consciousness</w:t>
            </w:r>
          </w:p>
          <w:p w14:paraId="4EFAF133" w14:textId="77777777" w:rsidR="0067521F" w:rsidRDefault="0067521F" w:rsidP="0067521F">
            <w:pPr>
              <w:pStyle w:val="ListParagraph"/>
              <w:numPr>
                <w:ilvl w:val="0"/>
                <w:numId w:val="29"/>
              </w:numPr>
              <w:tabs>
                <w:tab w:val="left" w:pos="1162"/>
              </w:tabs>
              <w:spacing w:after="240"/>
            </w:pPr>
            <w:r>
              <w:t>Any new weakness, numbness, paralysis or swelling in any limb</w:t>
            </w:r>
          </w:p>
          <w:p w14:paraId="0C042213" w14:textId="77777777" w:rsidR="0067521F" w:rsidRDefault="0067521F" w:rsidP="0067521F">
            <w:pPr>
              <w:pStyle w:val="ListParagraph"/>
              <w:numPr>
                <w:ilvl w:val="0"/>
                <w:numId w:val="29"/>
              </w:numPr>
              <w:tabs>
                <w:tab w:val="left" w:pos="1162"/>
              </w:tabs>
              <w:spacing w:after="240"/>
            </w:pPr>
            <w:r>
              <w:t>Any deterioration or change in your ability to walk</w:t>
            </w:r>
          </w:p>
          <w:p w14:paraId="159BDFA3" w14:textId="77777777" w:rsidR="0067521F" w:rsidRDefault="0067521F" w:rsidP="0067521F">
            <w:pPr>
              <w:pStyle w:val="ListParagraph"/>
              <w:numPr>
                <w:ilvl w:val="0"/>
                <w:numId w:val="29"/>
              </w:numPr>
              <w:tabs>
                <w:tab w:val="left" w:pos="1162"/>
              </w:tabs>
              <w:spacing w:after="240"/>
            </w:pPr>
            <w:r>
              <w:t>Any nausea or vomiting</w:t>
            </w:r>
          </w:p>
          <w:p w14:paraId="17DF348D" w14:textId="77777777" w:rsidR="0067521F" w:rsidRDefault="0067521F" w:rsidP="0067521F">
            <w:pPr>
              <w:pStyle w:val="ListParagraph"/>
              <w:numPr>
                <w:ilvl w:val="0"/>
                <w:numId w:val="29"/>
              </w:numPr>
              <w:tabs>
                <w:tab w:val="left" w:pos="1162"/>
              </w:tabs>
              <w:spacing w:after="240"/>
            </w:pPr>
            <w:r>
              <w:t>Any new confusion</w:t>
            </w:r>
          </w:p>
          <w:p w14:paraId="68EFD1DF" w14:textId="77777777" w:rsidR="0067521F" w:rsidRDefault="0067521F" w:rsidP="0067521F">
            <w:pPr>
              <w:pStyle w:val="ListParagraph"/>
              <w:numPr>
                <w:ilvl w:val="0"/>
                <w:numId w:val="29"/>
              </w:numPr>
              <w:tabs>
                <w:tab w:val="left" w:pos="1162"/>
              </w:tabs>
              <w:spacing w:after="240"/>
            </w:pPr>
            <w:r>
              <w:t>Any sudden onset of a severe headache</w:t>
            </w:r>
          </w:p>
          <w:p w14:paraId="5353513F" w14:textId="77777777" w:rsidR="0067521F" w:rsidRDefault="0067521F" w:rsidP="0067521F">
            <w:pPr>
              <w:pStyle w:val="ListParagraph"/>
              <w:numPr>
                <w:ilvl w:val="0"/>
                <w:numId w:val="29"/>
              </w:numPr>
              <w:tabs>
                <w:tab w:val="left" w:pos="1162"/>
              </w:tabs>
              <w:spacing w:after="240"/>
            </w:pPr>
            <w:r>
              <w:t>Any chest pain</w:t>
            </w:r>
          </w:p>
          <w:p w14:paraId="3E60B3AE" w14:textId="77777777" w:rsidR="0067521F" w:rsidRPr="0067521F" w:rsidRDefault="0067521F" w:rsidP="0067521F">
            <w:pPr>
              <w:pStyle w:val="ListParagraph"/>
              <w:numPr>
                <w:ilvl w:val="0"/>
                <w:numId w:val="29"/>
              </w:numPr>
              <w:tabs>
                <w:tab w:val="left" w:pos="1162"/>
              </w:tabs>
              <w:spacing w:after="240"/>
            </w:pPr>
            <w:r>
              <w:t>Any changes in your ability to see clearly</w:t>
            </w:r>
          </w:p>
          <w:p w14:paraId="1ED9F33A" w14:textId="77777777" w:rsidR="0067521F" w:rsidRDefault="0067521F" w:rsidP="0067521F">
            <w:pPr>
              <w:tabs>
                <w:tab w:val="left" w:pos="1162"/>
              </w:tabs>
              <w:spacing w:after="240"/>
              <w:rPr>
                <w:rFonts w:cs="Arial"/>
              </w:rPr>
            </w:pPr>
            <w:r>
              <w:rPr>
                <w:rFonts w:cs="Arial"/>
              </w:rPr>
              <w:t>or you fall again, then press your Care Alarm (if you have one) or telephone 999 for emergency help.</w:t>
            </w:r>
          </w:p>
          <w:p w14:paraId="11A3D007" w14:textId="77777777" w:rsidR="0067521F" w:rsidRDefault="0067521F" w:rsidP="00B50B5D">
            <w:pPr>
              <w:tabs>
                <w:tab w:val="left" w:pos="1162"/>
              </w:tabs>
              <w:spacing w:after="240"/>
              <w:rPr>
                <w:rFonts w:cs="Arial"/>
              </w:rPr>
            </w:pPr>
          </w:p>
        </w:tc>
      </w:tr>
    </w:tbl>
    <w:p w14:paraId="2B4B65FA" w14:textId="77777777" w:rsidR="0067521F" w:rsidRDefault="0067521F" w:rsidP="00B50B5D">
      <w:pPr>
        <w:tabs>
          <w:tab w:val="left" w:pos="1162"/>
        </w:tabs>
        <w:spacing w:after="240"/>
        <w:rPr>
          <w:rFonts w:cs="Arial"/>
        </w:rPr>
      </w:pPr>
    </w:p>
    <w:p w14:paraId="71097AA9" w14:textId="2D55F17D" w:rsidR="0067521F" w:rsidRDefault="0067521F" w:rsidP="00B50B5D">
      <w:pPr>
        <w:tabs>
          <w:tab w:val="left" w:pos="1162"/>
        </w:tabs>
        <w:spacing w:after="240"/>
        <w:rPr>
          <w:rFonts w:cs="Arial"/>
        </w:rPr>
      </w:pPr>
    </w:p>
    <w:p w14:paraId="2A48C4BC" w14:textId="551E22C6" w:rsidR="00A41904" w:rsidRDefault="00A41904" w:rsidP="00B50B5D">
      <w:pPr>
        <w:tabs>
          <w:tab w:val="left" w:pos="1162"/>
        </w:tabs>
        <w:spacing w:after="240"/>
        <w:rPr>
          <w:rFonts w:cs="Arial"/>
        </w:rPr>
      </w:pPr>
    </w:p>
    <w:sectPr w:rsidR="00A41904" w:rsidSect="0079507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C0E2" w14:textId="77777777" w:rsidR="00C36A5F" w:rsidRDefault="00C36A5F">
      <w:r>
        <w:separator/>
      </w:r>
    </w:p>
    <w:p w14:paraId="26234AB0" w14:textId="77777777" w:rsidR="00C36A5F" w:rsidRDefault="00C36A5F"/>
    <w:p w14:paraId="32F4F856" w14:textId="77777777" w:rsidR="00C36A5F" w:rsidRDefault="00C36A5F"/>
    <w:p w14:paraId="7AE7D022" w14:textId="77777777" w:rsidR="00C36A5F" w:rsidRDefault="00C36A5F"/>
    <w:p w14:paraId="2A28A0D7" w14:textId="77777777" w:rsidR="00C36A5F" w:rsidRDefault="00C36A5F"/>
    <w:p w14:paraId="73AF0E93" w14:textId="77777777" w:rsidR="00C36A5F" w:rsidRDefault="00C36A5F"/>
    <w:p w14:paraId="1DCF1FA1" w14:textId="77777777" w:rsidR="00C36A5F" w:rsidRDefault="00C36A5F"/>
    <w:p w14:paraId="2DFD31A4" w14:textId="77777777" w:rsidR="00C36A5F" w:rsidRDefault="00C36A5F"/>
    <w:p w14:paraId="6566255C" w14:textId="77777777" w:rsidR="00C36A5F" w:rsidRDefault="00C36A5F"/>
    <w:p w14:paraId="1AB430E3" w14:textId="77777777" w:rsidR="00C36A5F" w:rsidRDefault="00C36A5F"/>
    <w:p w14:paraId="0DC42E9D" w14:textId="77777777" w:rsidR="00C36A5F" w:rsidRDefault="00C36A5F"/>
    <w:p w14:paraId="3A3CEEB7" w14:textId="77777777" w:rsidR="00C36A5F" w:rsidRDefault="00C36A5F"/>
    <w:p w14:paraId="4E9EA65D" w14:textId="77777777" w:rsidR="00C36A5F" w:rsidRDefault="00C36A5F"/>
    <w:p w14:paraId="37612D5B" w14:textId="77777777" w:rsidR="00C36A5F" w:rsidRDefault="00C36A5F"/>
    <w:p w14:paraId="2615C14B" w14:textId="77777777" w:rsidR="00C36A5F" w:rsidRDefault="00C36A5F"/>
    <w:p w14:paraId="2BA52DCB" w14:textId="77777777" w:rsidR="00C36A5F" w:rsidRDefault="00C36A5F"/>
    <w:p w14:paraId="7ADA8C86" w14:textId="77777777" w:rsidR="00C36A5F" w:rsidRDefault="00C36A5F"/>
    <w:p w14:paraId="2D4DF155" w14:textId="77777777" w:rsidR="00C36A5F" w:rsidRDefault="00C36A5F"/>
    <w:p w14:paraId="22301F13" w14:textId="77777777" w:rsidR="00C36A5F" w:rsidRDefault="00C36A5F"/>
    <w:p w14:paraId="2B24E389" w14:textId="77777777" w:rsidR="00C36A5F" w:rsidRDefault="00C36A5F"/>
    <w:p w14:paraId="4139CB1F" w14:textId="77777777" w:rsidR="00C36A5F" w:rsidRDefault="00C36A5F"/>
    <w:p w14:paraId="6132419F" w14:textId="77777777" w:rsidR="00C36A5F" w:rsidRDefault="00C36A5F"/>
    <w:p w14:paraId="600C570A" w14:textId="77777777" w:rsidR="00C36A5F" w:rsidRDefault="00C36A5F"/>
    <w:p w14:paraId="5473F226" w14:textId="77777777" w:rsidR="00C36A5F" w:rsidRDefault="00C36A5F"/>
    <w:p w14:paraId="7F1D7BA2" w14:textId="77777777" w:rsidR="00C36A5F" w:rsidRDefault="00C36A5F"/>
    <w:p w14:paraId="291D0245" w14:textId="77777777" w:rsidR="00C36A5F" w:rsidRDefault="00C36A5F"/>
    <w:p w14:paraId="58ECD3D4" w14:textId="77777777" w:rsidR="00C36A5F" w:rsidRDefault="00C36A5F"/>
    <w:p w14:paraId="10873FCA" w14:textId="77777777" w:rsidR="00C36A5F" w:rsidRDefault="00C36A5F"/>
    <w:p w14:paraId="2FA6DEB5" w14:textId="77777777" w:rsidR="00C36A5F" w:rsidRDefault="00C36A5F"/>
    <w:p w14:paraId="2FBA93AE" w14:textId="77777777" w:rsidR="00C36A5F" w:rsidRDefault="00C36A5F"/>
    <w:p w14:paraId="23C05075" w14:textId="77777777" w:rsidR="00C36A5F" w:rsidRDefault="00C36A5F"/>
    <w:p w14:paraId="23DB4E9B" w14:textId="77777777" w:rsidR="00C36A5F" w:rsidRDefault="00C36A5F"/>
    <w:p w14:paraId="2F634955" w14:textId="77777777" w:rsidR="00C36A5F" w:rsidRDefault="00C36A5F"/>
    <w:p w14:paraId="0F00FE20" w14:textId="77777777" w:rsidR="00C36A5F" w:rsidRDefault="00C36A5F"/>
    <w:p w14:paraId="3421C69A" w14:textId="77777777" w:rsidR="00C36A5F" w:rsidRDefault="00C36A5F"/>
    <w:p w14:paraId="0ECCC589" w14:textId="77777777" w:rsidR="00C36A5F" w:rsidRDefault="00C36A5F"/>
    <w:p w14:paraId="60C2C619" w14:textId="77777777" w:rsidR="00C36A5F" w:rsidRDefault="00C36A5F"/>
    <w:p w14:paraId="2B36A92A" w14:textId="77777777" w:rsidR="00C36A5F" w:rsidRDefault="00C36A5F"/>
    <w:p w14:paraId="6B04824D" w14:textId="77777777" w:rsidR="00C36A5F" w:rsidRDefault="00C36A5F"/>
    <w:p w14:paraId="2707C035" w14:textId="77777777" w:rsidR="00C36A5F" w:rsidRDefault="00C36A5F"/>
  </w:endnote>
  <w:endnote w:type="continuationSeparator" w:id="0">
    <w:p w14:paraId="20C7A0BF" w14:textId="77777777" w:rsidR="00C36A5F" w:rsidRDefault="00C36A5F">
      <w:r>
        <w:continuationSeparator/>
      </w:r>
    </w:p>
    <w:p w14:paraId="256E71AA" w14:textId="77777777" w:rsidR="00C36A5F" w:rsidRDefault="00C36A5F"/>
    <w:p w14:paraId="190B5C07" w14:textId="77777777" w:rsidR="00C36A5F" w:rsidRDefault="00C36A5F"/>
    <w:p w14:paraId="63D64724" w14:textId="77777777" w:rsidR="00C36A5F" w:rsidRDefault="00C36A5F"/>
    <w:p w14:paraId="2E741EAC" w14:textId="77777777" w:rsidR="00C36A5F" w:rsidRDefault="00C36A5F"/>
    <w:p w14:paraId="37C98A38" w14:textId="77777777" w:rsidR="00C36A5F" w:rsidRDefault="00C36A5F"/>
    <w:p w14:paraId="49C86919" w14:textId="77777777" w:rsidR="00C36A5F" w:rsidRDefault="00C36A5F"/>
    <w:p w14:paraId="2874CD5C" w14:textId="77777777" w:rsidR="00C36A5F" w:rsidRDefault="00C36A5F"/>
    <w:p w14:paraId="23F6FDC4" w14:textId="77777777" w:rsidR="00C36A5F" w:rsidRDefault="00C36A5F"/>
    <w:p w14:paraId="55721CA5" w14:textId="77777777" w:rsidR="00C36A5F" w:rsidRDefault="00C36A5F"/>
    <w:p w14:paraId="15C1DAFB" w14:textId="77777777" w:rsidR="00C36A5F" w:rsidRDefault="00C36A5F"/>
    <w:p w14:paraId="48FA9E62" w14:textId="77777777" w:rsidR="00C36A5F" w:rsidRDefault="00C36A5F"/>
    <w:p w14:paraId="519AEF37" w14:textId="77777777" w:rsidR="00C36A5F" w:rsidRDefault="00C36A5F"/>
    <w:p w14:paraId="3FD7F41C" w14:textId="77777777" w:rsidR="00C36A5F" w:rsidRDefault="00C36A5F"/>
    <w:p w14:paraId="5ABCBBEC" w14:textId="77777777" w:rsidR="00C36A5F" w:rsidRDefault="00C36A5F"/>
    <w:p w14:paraId="15824034" w14:textId="77777777" w:rsidR="00C36A5F" w:rsidRDefault="00C36A5F"/>
    <w:p w14:paraId="40E5BAD8" w14:textId="77777777" w:rsidR="00C36A5F" w:rsidRDefault="00C36A5F"/>
    <w:p w14:paraId="483DD3E6" w14:textId="77777777" w:rsidR="00C36A5F" w:rsidRDefault="00C36A5F"/>
    <w:p w14:paraId="06F6F9D2" w14:textId="77777777" w:rsidR="00C36A5F" w:rsidRDefault="00C36A5F"/>
    <w:p w14:paraId="4BDAA9E8" w14:textId="77777777" w:rsidR="00C36A5F" w:rsidRDefault="00C36A5F"/>
    <w:p w14:paraId="1EB50119" w14:textId="77777777" w:rsidR="00C36A5F" w:rsidRDefault="00C36A5F"/>
    <w:p w14:paraId="20F7F16D" w14:textId="77777777" w:rsidR="00C36A5F" w:rsidRDefault="00C36A5F"/>
    <w:p w14:paraId="62F5B82A" w14:textId="77777777" w:rsidR="00C36A5F" w:rsidRDefault="00C36A5F"/>
    <w:p w14:paraId="07A70DBC" w14:textId="77777777" w:rsidR="00C36A5F" w:rsidRDefault="00C36A5F"/>
    <w:p w14:paraId="2EC69D0B" w14:textId="77777777" w:rsidR="00C36A5F" w:rsidRDefault="00C36A5F"/>
    <w:p w14:paraId="14838E3C" w14:textId="77777777" w:rsidR="00C36A5F" w:rsidRDefault="00C36A5F"/>
    <w:p w14:paraId="15F4421B" w14:textId="77777777" w:rsidR="00C36A5F" w:rsidRDefault="00C36A5F"/>
    <w:p w14:paraId="5698C306" w14:textId="77777777" w:rsidR="00C36A5F" w:rsidRDefault="00C36A5F"/>
    <w:p w14:paraId="3D7EA661" w14:textId="77777777" w:rsidR="00C36A5F" w:rsidRDefault="00C36A5F"/>
    <w:p w14:paraId="3EC1B1FA" w14:textId="77777777" w:rsidR="00C36A5F" w:rsidRDefault="00C36A5F"/>
    <w:p w14:paraId="27D59C63" w14:textId="77777777" w:rsidR="00C36A5F" w:rsidRDefault="00C36A5F"/>
    <w:p w14:paraId="48DD5044" w14:textId="77777777" w:rsidR="00C36A5F" w:rsidRDefault="00C36A5F"/>
    <w:p w14:paraId="6D5D136C" w14:textId="77777777" w:rsidR="00C36A5F" w:rsidRDefault="00C36A5F"/>
    <w:p w14:paraId="26BF0475" w14:textId="77777777" w:rsidR="00C36A5F" w:rsidRDefault="00C36A5F"/>
    <w:p w14:paraId="091AB77A" w14:textId="77777777" w:rsidR="00C36A5F" w:rsidRDefault="00C36A5F"/>
    <w:p w14:paraId="60FD74EC" w14:textId="77777777" w:rsidR="00C36A5F" w:rsidRDefault="00C36A5F"/>
    <w:p w14:paraId="767B6503" w14:textId="77777777" w:rsidR="00C36A5F" w:rsidRDefault="00C36A5F"/>
    <w:p w14:paraId="76DF17C7" w14:textId="77777777" w:rsidR="00C36A5F" w:rsidRDefault="00C36A5F"/>
    <w:p w14:paraId="67A01883" w14:textId="77777777" w:rsidR="00C36A5F" w:rsidRDefault="00C36A5F"/>
    <w:p w14:paraId="03D95719" w14:textId="77777777" w:rsidR="00C36A5F" w:rsidRDefault="00C36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96B3" w14:textId="77777777" w:rsidR="00C36A5F" w:rsidRDefault="00C36A5F">
      <w:r>
        <w:separator/>
      </w:r>
    </w:p>
    <w:p w14:paraId="5B940853" w14:textId="77777777" w:rsidR="00C36A5F" w:rsidRDefault="00C36A5F"/>
    <w:p w14:paraId="591033F0" w14:textId="77777777" w:rsidR="00C36A5F" w:rsidRDefault="00C36A5F"/>
    <w:p w14:paraId="5DA56B95" w14:textId="77777777" w:rsidR="00C36A5F" w:rsidRDefault="00C36A5F"/>
    <w:p w14:paraId="2E1D1476" w14:textId="77777777" w:rsidR="00C36A5F" w:rsidRDefault="00C36A5F"/>
    <w:p w14:paraId="2CA6CAD6" w14:textId="77777777" w:rsidR="00C36A5F" w:rsidRDefault="00C36A5F"/>
    <w:p w14:paraId="15C030A9" w14:textId="77777777" w:rsidR="00C36A5F" w:rsidRDefault="00C36A5F"/>
    <w:p w14:paraId="091790B9" w14:textId="77777777" w:rsidR="00C36A5F" w:rsidRDefault="00C36A5F"/>
    <w:p w14:paraId="6817CE10" w14:textId="77777777" w:rsidR="00C36A5F" w:rsidRDefault="00C36A5F"/>
    <w:p w14:paraId="7449393D" w14:textId="77777777" w:rsidR="00C36A5F" w:rsidRDefault="00C36A5F"/>
    <w:p w14:paraId="3825DBE9" w14:textId="77777777" w:rsidR="00C36A5F" w:rsidRDefault="00C36A5F"/>
    <w:p w14:paraId="1F725223" w14:textId="77777777" w:rsidR="00C36A5F" w:rsidRDefault="00C36A5F"/>
    <w:p w14:paraId="7FC5D00B" w14:textId="77777777" w:rsidR="00C36A5F" w:rsidRDefault="00C36A5F"/>
    <w:p w14:paraId="62CB3333" w14:textId="77777777" w:rsidR="00C36A5F" w:rsidRDefault="00C36A5F"/>
    <w:p w14:paraId="28781973" w14:textId="77777777" w:rsidR="00C36A5F" w:rsidRDefault="00C36A5F"/>
    <w:p w14:paraId="2275162A" w14:textId="77777777" w:rsidR="00C36A5F" w:rsidRDefault="00C36A5F"/>
    <w:p w14:paraId="00E00461" w14:textId="77777777" w:rsidR="00C36A5F" w:rsidRDefault="00C36A5F"/>
    <w:p w14:paraId="2D14BCC7" w14:textId="77777777" w:rsidR="00C36A5F" w:rsidRDefault="00C36A5F"/>
    <w:p w14:paraId="0F9AF956" w14:textId="77777777" w:rsidR="00C36A5F" w:rsidRDefault="00C36A5F"/>
    <w:p w14:paraId="475C0B75" w14:textId="77777777" w:rsidR="00C36A5F" w:rsidRDefault="00C36A5F"/>
    <w:p w14:paraId="313053F8" w14:textId="77777777" w:rsidR="00C36A5F" w:rsidRDefault="00C36A5F"/>
    <w:p w14:paraId="261225C4" w14:textId="77777777" w:rsidR="00C36A5F" w:rsidRDefault="00C36A5F"/>
    <w:p w14:paraId="213F8D6C" w14:textId="77777777" w:rsidR="00C36A5F" w:rsidRDefault="00C36A5F"/>
    <w:p w14:paraId="1E212B13" w14:textId="77777777" w:rsidR="00C36A5F" w:rsidRDefault="00C36A5F"/>
    <w:p w14:paraId="797E2C46" w14:textId="77777777" w:rsidR="00C36A5F" w:rsidRDefault="00C36A5F"/>
    <w:p w14:paraId="7875785B" w14:textId="77777777" w:rsidR="00C36A5F" w:rsidRDefault="00C36A5F"/>
    <w:p w14:paraId="4D972FDF" w14:textId="77777777" w:rsidR="00C36A5F" w:rsidRDefault="00C36A5F"/>
    <w:p w14:paraId="3C145EBF" w14:textId="77777777" w:rsidR="00C36A5F" w:rsidRDefault="00C36A5F"/>
    <w:p w14:paraId="74838BF7" w14:textId="77777777" w:rsidR="00C36A5F" w:rsidRDefault="00C36A5F"/>
    <w:p w14:paraId="759D86FA" w14:textId="77777777" w:rsidR="00C36A5F" w:rsidRDefault="00C36A5F"/>
    <w:p w14:paraId="37501597" w14:textId="77777777" w:rsidR="00C36A5F" w:rsidRDefault="00C36A5F"/>
    <w:p w14:paraId="16590392" w14:textId="77777777" w:rsidR="00C36A5F" w:rsidRDefault="00C36A5F"/>
    <w:p w14:paraId="6FEAB6FA" w14:textId="77777777" w:rsidR="00C36A5F" w:rsidRDefault="00C36A5F"/>
    <w:p w14:paraId="1A7A84D7" w14:textId="77777777" w:rsidR="00C36A5F" w:rsidRDefault="00C36A5F"/>
    <w:p w14:paraId="6946F4DC" w14:textId="77777777" w:rsidR="00C36A5F" w:rsidRDefault="00C36A5F"/>
    <w:p w14:paraId="622C8412" w14:textId="77777777" w:rsidR="00C36A5F" w:rsidRDefault="00C36A5F"/>
    <w:p w14:paraId="60D392CF" w14:textId="77777777" w:rsidR="00C36A5F" w:rsidRDefault="00C36A5F"/>
    <w:p w14:paraId="2FB3FB19" w14:textId="77777777" w:rsidR="00C36A5F" w:rsidRDefault="00C36A5F"/>
    <w:p w14:paraId="26B4B724" w14:textId="77777777" w:rsidR="00C36A5F" w:rsidRDefault="00C36A5F"/>
    <w:p w14:paraId="7DE2975F" w14:textId="77777777" w:rsidR="00C36A5F" w:rsidRDefault="00C36A5F"/>
  </w:footnote>
  <w:footnote w:type="continuationSeparator" w:id="0">
    <w:p w14:paraId="48A355DD" w14:textId="77777777" w:rsidR="00C36A5F" w:rsidRDefault="00C36A5F">
      <w:r>
        <w:continuationSeparator/>
      </w:r>
    </w:p>
    <w:p w14:paraId="3D21E7A9" w14:textId="77777777" w:rsidR="00C36A5F" w:rsidRDefault="00C36A5F"/>
    <w:p w14:paraId="58C11935" w14:textId="77777777" w:rsidR="00C36A5F" w:rsidRDefault="00C36A5F"/>
    <w:p w14:paraId="02F0E5CB" w14:textId="77777777" w:rsidR="00C36A5F" w:rsidRDefault="00C36A5F"/>
    <w:p w14:paraId="6EAC408F" w14:textId="77777777" w:rsidR="00C36A5F" w:rsidRDefault="00C36A5F"/>
    <w:p w14:paraId="6135A769" w14:textId="77777777" w:rsidR="00C36A5F" w:rsidRDefault="00C36A5F"/>
    <w:p w14:paraId="6264427B" w14:textId="77777777" w:rsidR="00C36A5F" w:rsidRDefault="00C36A5F"/>
    <w:p w14:paraId="3B5752A2" w14:textId="77777777" w:rsidR="00C36A5F" w:rsidRDefault="00C36A5F"/>
    <w:p w14:paraId="2009E48C" w14:textId="77777777" w:rsidR="00C36A5F" w:rsidRDefault="00C36A5F"/>
    <w:p w14:paraId="3691A494" w14:textId="77777777" w:rsidR="00C36A5F" w:rsidRDefault="00C36A5F"/>
    <w:p w14:paraId="0C6393D1" w14:textId="77777777" w:rsidR="00C36A5F" w:rsidRDefault="00C36A5F"/>
    <w:p w14:paraId="632A686E" w14:textId="77777777" w:rsidR="00C36A5F" w:rsidRDefault="00C36A5F"/>
    <w:p w14:paraId="6CF523F1" w14:textId="77777777" w:rsidR="00C36A5F" w:rsidRDefault="00C36A5F"/>
    <w:p w14:paraId="1370C88B" w14:textId="77777777" w:rsidR="00C36A5F" w:rsidRDefault="00C36A5F"/>
    <w:p w14:paraId="68CA36DD" w14:textId="77777777" w:rsidR="00C36A5F" w:rsidRDefault="00C36A5F"/>
    <w:p w14:paraId="30A7A93B" w14:textId="77777777" w:rsidR="00C36A5F" w:rsidRDefault="00C36A5F"/>
    <w:p w14:paraId="2B141A52" w14:textId="77777777" w:rsidR="00C36A5F" w:rsidRDefault="00C36A5F"/>
    <w:p w14:paraId="3D42861E" w14:textId="77777777" w:rsidR="00C36A5F" w:rsidRDefault="00C36A5F"/>
    <w:p w14:paraId="3C200DEE" w14:textId="77777777" w:rsidR="00C36A5F" w:rsidRDefault="00C36A5F"/>
    <w:p w14:paraId="34C345EB" w14:textId="77777777" w:rsidR="00C36A5F" w:rsidRDefault="00C36A5F"/>
    <w:p w14:paraId="425E15C6" w14:textId="77777777" w:rsidR="00C36A5F" w:rsidRDefault="00C36A5F"/>
    <w:p w14:paraId="2E7618C2" w14:textId="77777777" w:rsidR="00C36A5F" w:rsidRDefault="00C36A5F"/>
    <w:p w14:paraId="03A09D6D" w14:textId="77777777" w:rsidR="00C36A5F" w:rsidRDefault="00C36A5F"/>
    <w:p w14:paraId="43C414FF" w14:textId="77777777" w:rsidR="00C36A5F" w:rsidRDefault="00C36A5F"/>
    <w:p w14:paraId="54664F88" w14:textId="77777777" w:rsidR="00C36A5F" w:rsidRDefault="00C36A5F"/>
    <w:p w14:paraId="7405E686" w14:textId="77777777" w:rsidR="00C36A5F" w:rsidRDefault="00C36A5F"/>
    <w:p w14:paraId="2169A5E2" w14:textId="77777777" w:rsidR="00C36A5F" w:rsidRDefault="00C36A5F"/>
    <w:p w14:paraId="6D0D84AC" w14:textId="77777777" w:rsidR="00C36A5F" w:rsidRDefault="00C36A5F"/>
    <w:p w14:paraId="3AA7B5D1" w14:textId="77777777" w:rsidR="00C36A5F" w:rsidRDefault="00C36A5F"/>
    <w:p w14:paraId="4EF6EC2A" w14:textId="77777777" w:rsidR="00C36A5F" w:rsidRDefault="00C36A5F"/>
    <w:p w14:paraId="71CEEDE8" w14:textId="77777777" w:rsidR="00C36A5F" w:rsidRDefault="00C36A5F"/>
    <w:p w14:paraId="2A89D7A4" w14:textId="77777777" w:rsidR="00C36A5F" w:rsidRDefault="00C36A5F"/>
    <w:p w14:paraId="052279E3" w14:textId="77777777" w:rsidR="00C36A5F" w:rsidRDefault="00C36A5F"/>
    <w:p w14:paraId="16AA9BA3" w14:textId="77777777" w:rsidR="00C36A5F" w:rsidRDefault="00C36A5F"/>
    <w:p w14:paraId="2A216919" w14:textId="77777777" w:rsidR="00C36A5F" w:rsidRDefault="00C36A5F"/>
    <w:p w14:paraId="5EC9B65A" w14:textId="77777777" w:rsidR="00C36A5F" w:rsidRDefault="00C36A5F"/>
    <w:p w14:paraId="7B658577" w14:textId="77777777" w:rsidR="00C36A5F" w:rsidRDefault="00C36A5F"/>
    <w:p w14:paraId="00BE2038" w14:textId="77777777" w:rsidR="00C36A5F" w:rsidRDefault="00C36A5F"/>
    <w:p w14:paraId="18E6ACBC" w14:textId="77777777" w:rsidR="00C36A5F" w:rsidRDefault="00C36A5F"/>
    <w:p w14:paraId="647D581A" w14:textId="77777777" w:rsidR="00C36A5F" w:rsidRDefault="00C36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66A4"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B413"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B230B7"/>
    <w:multiLevelType w:val="hybridMultilevel"/>
    <w:tmpl w:val="26FCF57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4"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11"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6"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7" w15:restartNumberingAfterBreak="0">
    <w:nsid w:val="316D6C72"/>
    <w:multiLevelType w:val="hybridMultilevel"/>
    <w:tmpl w:val="1B9C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D7D50"/>
    <w:multiLevelType w:val="hybridMultilevel"/>
    <w:tmpl w:val="8A520174"/>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1" w15:restartNumberingAfterBreak="0">
    <w:nsid w:val="55196384"/>
    <w:multiLevelType w:val="hybridMultilevel"/>
    <w:tmpl w:val="17C405B8"/>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2"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32542F"/>
    <w:multiLevelType w:val="hybridMultilevel"/>
    <w:tmpl w:val="82E65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134862">
    <w:abstractNumId w:val="2"/>
  </w:num>
  <w:num w:numId="2" w16cid:durableId="418412451">
    <w:abstractNumId w:val="23"/>
  </w:num>
  <w:num w:numId="3" w16cid:durableId="1722557127">
    <w:abstractNumId w:val="8"/>
  </w:num>
  <w:num w:numId="4" w16cid:durableId="1922644354">
    <w:abstractNumId w:val="15"/>
  </w:num>
  <w:num w:numId="5" w16cid:durableId="1523468081">
    <w:abstractNumId w:val="28"/>
  </w:num>
  <w:num w:numId="6" w16cid:durableId="19668497">
    <w:abstractNumId w:val="22"/>
  </w:num>
  <w:num w:numId="7" w16cid:durableId="1284458648">
    <w:abstractNumId w:val="11"/>
  </w:num>
  <w:num w:numId="8" w16cid:durableId="1457798225">
    <w:abstractNumId w:val="23"/>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725566748">
    <w:abstractNumId w:val="10"/>
  </w:num>
  <w:num w:numId="10" w16cid:durableId="520898180">
    <w:abstractNumId w:val="29"/>
  </w:num>
  <w:num w:numId="11" w16cid:durableId="374474678">
    <w:abstractNumId w:val="4"/>
  </w:num>
  <w:num w:numId="12" w16cid:durableId="84041162">
    <w:abstractNumId w:val="6"/>
  </w:num>
  <w:num w:numId="13" w16cid:durableId="1783305513">
    <w:abstractNumId w:val="5"/>
  </w:num>
  <w:num w:numId="14" w16cid:durableId="65107534">
    <w:abstractNumId w:val="12"/>
  </w:num>
  <w:num w:numId="15" w16cid:durableId="1704359164">
    <w:abstractNumId w:val="18"/>
  </w:num>
  <w:num w:numId="16" w16cid:durableId="1167749575">
    <w:abstractNumId w:val="16"/>
  </w:num>
  <w:num w:numId="17" w16cid:durableId="718288500">
    <w:abstractNumId w:val="9"/>
  </w:num>
  <w:num w:numId="18" w16cid:durableId="1503667179">
    <w:abstractNumId w:val="24"/>
  </w:num>
  <w:num w:numId="19" w16cid:durableId="1624190440">
    <w:abstractNumId w:val="0"/>
    <w:lvlOverride w:ilvl="0">
      <w:startOverride w:val="1"/>
    </w:lvlOverride>
  </w:num>
  <w:num w:numId="20" w16cid:durableId="1336346033">
    <w:abstractNumId w:val="0"/>
  </w:num>
  <w:num w:numId="21" w16cid:durableId="916472872">
    <w:abstractNumId w:val="25"/>
  </w:num>
  <w:num w:numId="22" w16cid:durableId="557546087">
    <w:abstractNumId w:val="27"/>
  </w:num>
  <w:num w:numId="23" w16cid:durableId="106969312">
    <w:abstractNumId w:val="19"/>
  </w:num>
  <w:num w:numId="24" w16cid:durableId="716861081">
    <w:abstractNumId w:val="13"/>
  </w:num>
  <w:num w:numId="25" w16cid:durableId="412900762">
    <w:abstractNumId w:val="26"/>
  </w:num>
  <w:num w:numId="26" w16cid:durableId="1393189549">
    <w:abstractNumId w:val="21"/>
  </w:num>
  <w:num w:numId="27" w16cid:durableId="245386488">
    <w:abstractNumId w:val="3"/>
  </w:num>
  <w:num w:numId="28" w16cid:durableId="44381542">
    <w:abstractNumId w:val="20"/>
  </w:num>
  <w:num w:numId="29" w16cid:durableId="2047824678">
    <w:abstractNumId w:val="17"/>
  </w:num>
  <w:num w:numId="30" w16cid:durableId="1378312624">
    <w:abstractNumId w:val="14"/>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1" w16cid:durableId="1998922374">
    <w:abstractNumId w:val="30"/>
  </w:num>
  <w:num w:numId="32" w16cid:durableId="326247132">
    <w:abstractNumId w:val="1"/>
  </w:num>
  <w:num w:numId="33" w16cid:durableId="212298736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94"/>
    <w:rsid w:val="000009C2"/>
    <w:rsid w:val="00002F8D"/>
    <w:rsid w:val="00003A66"/>
    <w:rsid w:val="00004BB3"/>
    <w:rsid w:val="00015AFA"/>
    <w:rsid w:val="000163EB"/>
    <w:rsid w:val="00017BDB"/>
    <w:rsid w:val="000336CB"/>
    <w:rsid w:val="0003620F"/>
    <w:rsid w:val="000379B1"/>
    <w:rsid w:val="00041DBD"/>
    <w:rsid w:val="00042440"/>
    <w:rsid w:val="00043C89"/>
    <w:rsid w:val="00044DA1"/>
    <w:rsid w:val="000475E3"/>
    <w:rsid w:val="000517B4"/>
    <w:rsid w:val="00052F4C"/>
    <w:rsid w:val="0005607D"/>
    <w:rsid w:val="00060939"/>
    <w:rsid w:val="000628BB"/>
    <w:rsid w:val="00065770"/>
    <w:rsid w:val="00066C99"/>
    <w:rsid w:val="0006702D"/>
    <w:rsid w:val="00067D0F"/>
    <w:rsid w:val="0007039C"/>
    <w:rsid w:val="00071AF3"/>
    <w:rsid w:val="00072D74"/>
    <w:rsid w:val="00074483"/>
    <w:rsid w:val="000754AA"/>
    <w:rsid w:val="00076FCE"/>
    <w:rsid w:val="00080852"/>
    <w:rsid w:val="00081A96"/>
    <w:rsid w:val="00081DF6"/>
    <w:rsid w:val="00083834"/>
    <w:rsid w:val="00086FFD"/>
    <w:rsid w:val="000873B4"/>
    <w:rsid w:val="000924E5"/>
    <w:rsid w:val="000930A3"/>
    <w:rsid w:val="00093E7B"/>
    <w:rsid w:val="00097204"/>
    <w:rsid w:val="00097547"/>
    <w:rsid w:val="000A002F"/>
    <w:rsid w:val="000A2BAC"/>
    <w:rsid w:val="000A7835"/>
    <w:rsid w:val="000B18AE"/>
    <w:rsid w:val="000B27A2"/>
    <w:rsid w:val="000B549A"/>
    <w:rsid w:val="000C03E9"/>
    <w:rsid w:val="000C3464"/>
    <w:rsid w:val="000C41B5"/>
    <w:rsid w:val="000C5886"/>
    <w:rsid w:val="000D1750"/>
    <w:rsid w:val="000D2759"/>
    <w:rsid w:val="000D35CF"/>
    <w:rsid w:val="000D3E28"/>
    <w:rsid w:val="000D573D"/>
    <w:rsid w:val="000E1984"/>
    <w:rsid w:val="000E20F4"/>
    <w:rsid w:val="000E2650"/>
    <w:rsid w:val="000E2DF6"/>
    <w:rsid w:val="000E3CCB"/>
    <w:rsid w:val="000E3E99"/>
    <w:rsid w:val="000E6E10"/>
    <w:rsid w:val="000E7208"/>
    <w:rsid w:val="000F09F7"/>
    <w:rsid w:val="000F0BD4"/>
    <w:rsid w:val="000F0CD9"/>
    <w:rsid w:val="000F1B26"/>
    <w:rsid w:val="000F27C6"/>
    <w:rsid w:val="000F4049"/>
    <w:rsid w:val="001022CF"/>
    <w:rsid w:val="0010507A"/>
    <w:rsid w:val="00107C1B"/>
    <w:rsid w:val="00114E09"/>
    <w:rsid w:val="00120E8F"/>
    <w:rsid w:val="0012447F"/>
    <w:rsid w:val="001255E9"/>
    <w:rsid w:val="00135C64"/>
    <w:rsid w:val="0013777B"/>
    <w:rsid w:val="00140A96"/>
    <w:rsid w:val="0014294E"/>
    <w:rsid w:val="0014532E"/>
    <w:rsid w:val="00147135"/>
    <w:rsid w:val="00147B72"/>
    <w:rsid w:val="001503E7"/>
    <w:rsid w:val="00151079"/>
    <w:rsid w:val="0015285F"/>
    <w:rsid w:val="001536BC"/>
    <w:rsid w:val="00154167"/>
    <w:rsid w:val="0015760E"/>
    <w:rsid w:val="00161685"/>
    <w:rsid w:val="00166DE1"/>
    <w:rsid w:val="0016779F"/>
    <w:rsid w:val="00167C60"/>
    <w:rsid w:val="00170EFC"/>
    <w:rsid w:val="00171B0F"/>
    <w:rsid w:val="00172463"/>
    <w:rsid w:val="00172646"/>
    <w:rsid w:val="00173716"/>
    <w:rsid w:val="001737AC"/>
    <w:rsid w:val="001771DF"/>
    <w:rsid w:val="00181171"/>
    <w:rsid w:val="00186294"/>
    <w:rsid w:val="00191627"/>
    <w:rsid w:val="00195503"/>
    <w:rsid w:val="001955E2"/>
    <w:rsid w:val="001A346F"/>
    <w:rsid w:val="001B16A7"/>
    <w:rsid w:val="001B1AA7"/>
    <w:rsid w:val="001B1C6B"/>
    <w:rsid w:val="001B544B"/>
    <w:rsid w:val="001B6EE6"/>
    <w:rsid w:val="001C0783"/>
    <w:rsid w:val="001C134C"/>
    <w:rsid w:val="001C46E9"/>
    <w:rsid w:val="001C531C"/>
    <w:rsid w:val="001C7C40"/>
    <w:rsid w:val="001D18A3"/>
    <w:rsid w:val="001D3398"/>
    <w:rsid w:val="001D6C60"/>
    <w:rsid w:val="001E0955"/>
    <w:rsid w:val="001E4519"/>
    <w:rsid w:val="001E7441"/>
    <w:rsid w:val="001F06EE"/>
    <w:rsid w:val="001F0CE4"/>
    <w:rsid w:val="001F1AD3"/>
    <w:rsid w:val="001F551B"/>
    <w:rsid w:val="001F663C"/>
    <w:rsid w:val="002041E6"/>
    <w:rsid w:val="002055EF"/>
    <w:rsid w:val="00206584"/>
    <w:rsid w:val="00210488"/>
    <w:rsid w:val="00210EF1"/>
    <w:rsid w:val="002173D7"/>
    <w:rsid w:val="002175D0"/>
    <w:rsid w:val="00221C1D"/>
    <w:rsid w:val="00222CB1"/>
    <w:rsid w:val="0022562E"/>
    <w:rsid w:val="00230887"/>
    <w:rsid w:val="00232F45"/>
    <w:rsid w:val="002367FB"/>
    <w:rsid w:val="00236CFF"/>
    <w:rsid w:val="00237759"/>
    <w:rsid w:val="00237A31"/>
    <w:rsid w:val="00242543"/>
    <w:rsid w:val="0024292D"/>
    <w:rsid w:val="002457BA"/>
    <w:rsid w:val="002462DC"/>
    <w:rsid w:val="00247883"/>
    <w:rsid w:val="002503DD"/>
    <w:rsid w:val="00252C7C"/>
    <w:rsid w:val="002537A5"/>
    <w:rsid w:val="00255048"/>
    <w:rsid w:val="00255D98"/>
    <w:rsid w:val="002620AD"/>
    <w:rsid w:val="002630B8"/>
    <w:rsid w:val="00263669"/>
    <w:rsid w:val="0026573B"/>
    <w:rsid w:val="00267FED"/>
    <w:rsid w:val="0027303C"/>
    <w:rsid w:val="00273FDF"/>
    <w:rsid w:val="002778E1"/>
    <w:rsid w:val="00277F45"/>
    <w:rsid w:val="0028455A"/>
    <w:rsid w:val="00284821"/>
    <w:rsid w:val="00285CCD"/>
    <w:rsid w:val="00287892"/>
    <w:rsid w:val="00291986"/>
    <w:rsid w:val="00293DE5"/>
    <w:rsid w:val="00293E54"/>
    <w:rsid w:val="002969C2"/>
    <w:rsid w:val="00296CFD"/>
    <w:rsid w:val="00297E81"/>
    <w:rsid w:val="002A118E"/>
    <w:rsid w:val="002A3122"/>
    <w:rsid w:val="002A4E36"/>
    <w:rsid w:val="002A4F3C"/>
    <w:rsid w:val="002B100B"/>
    <w:rsid w:val="002B5F6E"/>
    <w:rsid w:val="002B6296"/>
    <w:rsid w:val="002B674C"/>
    <w:rsid w:val="002B6C4F"/>
    <w:rsid w:val="002B7F82"/>
    <w:rsid w:val="002C3717"/>
    <w:rsid w:val="002C4550"/>
    <w:rsid w:val="002C5AB0"/>
    <w:rsid w:val="002C5F7F"/>
    <w:rsid w:val="002D349F"/>
    <w:rsid w:val="002D3B6B"/>
    <w:rsid w:val="002D66EF"/>
    <w:rsid w:val="002D7AFB"/>
    <w:rsid w:val="002E06DD"/>
    <w:rsid w:val="002E2384"/>
    <w:rsid w:val="002E2489"/>
    <w:rsid w:val="002E2C05"/>
    <w:rsid w:val="002E6E0A"/>
    <w:rsid w:val="002F0571"/>
    <w:rsid w:val="002F6B4D"/>
    <w:rsid w:val="002F744A"/>
    <w:rsid w:val="0030013A"/>
    <w:rsid w:val="00306B8A"/>
    <w:rsid w:val="00306FA6"/>
    <w:rsid w:val="00307D04"/>
    <w:rsid w:val="00310DA7"/>
    <w:rsid w:val="00315744"/>
    <w:rsid w:val="003164C3"/>
    <w:rsid w:val="003171FF"/>
    <w:rsid w:val="00317419"/>
    <w:rsid w:val="003202A9"/>
    <w:rsid w:val="003209AB"/>
    <w:rsid w:val="00322F1E"/>
    <w:rsid w:val="003252A4"/>
    <w:rsid w:val="00326B1E"/>
    <w:rsid w:val="0033222E"/>
    <w:rsid w:val="003336C2"/>
    <w:rsid w:val="00334132"/>
    <w:rsid w:val="0033470D"/>
    <w:rsid w:val="00335732"/>
    <w:rsid w:val="00335A26"/>
    <w:rsid w:val="003362BF"/>
    <w:rsid w:val="003412CE"/>
    <w:rsid w:val="003415BF"/>
    <w:rsid w:val="00342B74"/>
    <w:rsid w:val="00343324"/>
    <w:rsid w:val="00343647"/>
    <w:rsid w:val="003439EB"/>
    <w:rsid w:val="00343C57"/>
    <w:rsid w:val="003440D7"/>
    <w:rsid w:val="0034460A"/>
    <w:rsid w:val="003446F0"/>
    <w:rsid w:val="00346646"/>
    <w:rsid w:val="00347794"/>
    <w:rsid w:val="00353E20"/>
    <w:rsid w:val="003556C6"/>
    <w:rsid w:val="0035666B"/>
    <w:rsid w:val="00357316"/>
    <w:rsid w:val="003578B4"/>
    <w:rsid w:val="00362676"/>
    <w:rsid w:val="00367885"/>
    <w:rsid w:val="00370782"/>
    <w:rsid w:val="00370949"/>
    <w:rsid w:val="003747B9"/>
    <w:rsid w:val="00380743"/>
    <w:rsid w:val="003813A9"/>
    <w:rsid w:val="003819EA"/>
    <w:rsid w:val="0038353C"/>
    <w:rsid w:val="00383F94"/>
    <w:rsid w:val="00384BAA"/>
    <w:rsid w:val="003853BF"/>
    <w:rsid w:val="00386FA4"/>
    <w:rsid w:val="003874B1"/>
    <w:rsid w:val="003879C7"/>
    <w:rsid w:val="00390C86"/>
    <w:rsid w:val="00392D70"/>
    <w:rsid w:val="00392E8B"/>
    <w:rsid w:val="0039386D"/>
    <w:rsid w:val="00395068"/>
    <w:rsid w:val="00395808"/>
    <w:rsid w:val="00397EE5"/>
    <w:rsid w:val="003A0304"/>
    <w:rsid w:val="003A10F2"/>
    <w:rsid w:val="003A7D19"/>
    <w:rsid w:val="003B1975"/>
    <w:rsid w:val="003B431A"/>
    <w:rsid w:val="003B4453"/>
    <w:rsid w:val="003B532A"/>
    <w:rsid w:val="003B57CF"/>
    <w:rsid w:val="003B654D"/>
    <w:rsid w:val="003C14BB"/>
    <w:rsid w:val="003C181D"/>
    <w:rsid w:val="003C4410"/>
    <w:rsid w:val="003C559E"/>
    <w:rsid w:val="003C64AD"/>
    <w:rsid w:val="003D0C1F"/>
    <w:rsid w:val="003D1B53"/>
    <w:rsid w:val="003D1F9B"/>
    <w:rsid w:val="003D2E34"/>
    <w:rsid w:val="003D3B16"/>
    <w:rsid w:val="003D628D"/>
    <w:rsid w:val="003D7DD6"/>
    <w:rsid w:val="003E13B3"/>
    <w:rsid w:val="003E1F02"/>
    <w:rsid w:val="003E2B88"/>
    <w:rsid w:val="003E487D"/>
    <w:rsid w:val="003E5C22"/>
    <w:rsid w:val="003F2A8A"/>
    <w:rsid w:val="003F3D8A"/>
    <w:rsid w:val="003F505E"/>
    <w:rsid w:val="003F5266"/>
    <w:rsid w:val="003F61F5"/>
    <w:rsid w:val="003F65FB"/>
    <w:rsid w:val="0040161A"/>
    <w:rsid w:val="004024EF"/>
    <w:rsid w:val="00402F63"/>
    <w:rsid w:val="0040381C"/>
    <w:rsid w:val="00403ED9"/>
    <w:rsid w:val="00404F2F"/>
    <w:rsid w:val="004073DA"/>
    <w:rsid w:val="00410CA2"/>
    <w:rsid w:val="00412D32"/>
    <w:rsid w:val="00417B85"/>
    <w:rsid w:val="004214F1"/>
    <w:rsid w:val="004237AD"/>
    <w:rsid w:val="004247B1"/>
    <w:rsid w:val="00424B9A"/>
    <w:rsid w:val="0042510A"/>
    <w:rsid w:val="0042513B"/>
    <w:rsid w:val="0042523E"/>
    <w:rsid w:val="00426BCD"/>
    <w:rsid w:val="0043154E"/>
    <w:rsid w:val="004323EA"/>
    <w:rsid w:val="00434B3E"/>
    <w:rsid w:val="0043622D"/>
    <w:rsid w:val="00440E51"/>
    <w:rsid w:val="0044197C"/>
    <w:rsid w:val="00444393"/>
    <w:rsid w:val="00444BA4"/>
    <w:rsid w:val="00446C23"/>
    <w:rsid w:val="00450559"/>
    <w:rsid w:val="00450E83"/>
    <w:rsid w:val="00451145"/>
    <w:rsid w:val="00452960"/>
    <w:rsid w:val="00453391"/>
    <w:rsid w:val="00455D26"/>
    <w:rsid w:val="004609ED"/>
    <w:rsid w:val="00462FAC"/>
    <w:rsid w:val="004633E7"/>
    <w:rsid w:val="00465961"/>
    <w:rsid w:val="00467C68"/>
    <w:rsid w:val="00470B0F"/>
    <w:rsid w:val="00481657"/>
    <w:rsid w:val="004858C1"/>
    <w:rsid w:val="00485ECC"/>
    <w:rsid w:val="0048785B"/>
    <w:rsid w:val="0049008A"/>
    <w:rsid w:val="00491FFF"/>
    <w:rsid w:val="00492147"/>
    <w:rsid w:val="00492C15"/>
    <w:rsid w:val="004934AB"/>
    <w:rsid w:val="00494868"/>
    <w:rsid w:val="00495AB3"/>
    <w:rsid w:val="0049632B"/>
    <w:rsid w:val="004A0D1C"/>
    <w:rsid w:val="004A1449"/>
    <w:rsid w:val="004A4AA9"/>
    <w:rsid w:val="004A4F69"/>
    <w:rsid w:val="004B2709"/>
    <w:rsid w:val="004B44E1"/>
    <w:rsid w:val="004B7C18"/>
    <w:rsid w:val="004C16DD"/>
    <w:rsid w:val="004C421A"/>
    <w:rsid w:val="004C4D48"/>
    <w:rsid w:val="004D074A"/>
    <w:rsid w:val="004D3C6F"/>
    <w:rsid w:val="004D4D08"/>
    <w:rsid w:val="004E1EE3"/>
    <w:rsid w:val="004E3ADF"/>
    <w:rsid w:val="004E7417"/>
    <w:rsid w:val="004F60CA"/>
    <w:rsid w:val="0050298C"/>
    <w:rsid w:val="00502A1C"/>
    <w:rsid w:val="00502DE8"/>
    <w:rsid w:val="0050442B"/>
    <w:rsid w:val="0050446B"/>
    <w:rsid w:val="005063A5"/>
    <w:rsid w:val="00506DB1"/>
    <w:rsid w:val="00510E12"/>
    <w:rsid w:val="00511F2C"/>
    <w:rsid w:val="005133F5"/>
    <w:rsid w:val="00514C36"/>
    <w:rsid w:val="005151FF"/>
    <w:rsid w:val="00515D36"/>
    <w:rsid w:val="00516083"/>
    <w:rsid w:val="00516485"/>
    <w:rsid w:val="0051771A"/>
    <w:rsid w:val="00521E6C"/>
    <w:rsid w:val="00522686"/>
    <w:rsid w:val="00531194"/>
    <w:rsid w:val="00533BB1"/>
    <w:rsid w:val="005349BD"/>
    <w:rsid w:val="00535913"/>
    <w:rsid w:val="0053607B"/>
    <w:rsid w:val="00541770"/>
    <w:rsid w:val="00541E40"/>
    <w:rsid w:val="00542956"/>
    <w:rsid w:val="005449C1"/>
    <w:rsid w:val="0054561A"/>
    <w:rsid w:val="005461E5"/>
    <w:rsid w:val="00547313"/>
    <w:rsid w:val="005473E0"/>
    <w:rsid w:val="00547E4E"/>
    <w:rsid w:val="005508D3"/>
    <w:rsid w:val="00552A2A"/>
    <w:rsid w:val="00554077"/>
    <w:rsid w:val="00555997"/>
    <w:rsid w:val="00555CA7"/>
    <w:rsid w:val="005576F9"/>
    <w:rsid w:val="005602DE"/>
    <w:rsid w:val="00561B84"/>
    <w:rsid w:val="00562C89"/>
    <w:rsid w:val="00564928"/>
    <w:rsid w:val="005653D7"/>
    <w:rsid w:val="00566C18"/>
    <w:rsid w:val="005717AA"/>
    <w:rsid w:val="0057254C"/>
    <w:rsid w:val="0057266F"/>
    <w:rsid w:val="00572DFA"/>
    <w:rsid w:val="005733E1"/>
    <w:rsid w:val="005769C4"/>
    <w:rsid w:val="005813B2"/>
    <w:rsid w:val="00584FFD"/>
    <w:rsid w:val="005854F9"/>
    <w:rsid w:val="00585F25"/>
    <w:rsid w:val="00586457"/>
    <w:rsid w:val="00591BE1"/>
    <w:rsid w:val="005922DC"/>
    <w:rsid w:val="00595DA9"/>
    <w:rsid w:val="0059726F"/>
    <w:rsid w:val="005A0420"/>
    <w:rsid w:val="005A255C"/>
    <w:rsid w:val="005B4857"/>
    <w:rsid w:val="005B4E6A"/>
    <w:rsid w:val="005B4FF4"/>
    <w:rsid w:val="005B5602"/>
    <w:rsid w:val="005B5A27"/>
    <w:rsid w:val="005C04FA"/>
    <w:rsid w:val="005C25B8"/>
    <w:rsid w:val="005C3B7A"/>
    <w:rsid w:val="005C44C6"/>
    <w:rsid w:val="005C7565"/>
    <w:rsid w:val="005C7C3D"/>
    <w:rsid w:val="005D1575"/>
    <w:rsid w:val="005D3684"/>
    <w:rsid w:val="005D4E16"/>
    <w:rsid w:val="005D53C3"/>
    <w:rsid w:val="005D6557"/>
    <w:rsid w:val="005E269B"/>
    <w:rsid w:val="005F07BB"/>
    <w:rsid w:val="005F279B"/>
    <w:rsid w:val="005F3C5A"/>
    <w:rsid w:val="005F4667"/>
    <w:rsid w:val="005F5B0E"/>
    <w:rsid w:val="005F72FB"/>
    <w:rsid w:val="0060287C"/>
    <w:rsid w:val="00603235"/>
    <w:rsid w:val="00605F10"/>
    <w:rsid w:val="006113DC"/>
    <w:rsid w:val="00613E2A"/>
    <w:rsid w:val="00620008"/>
    <w:rsid w:val="006203F4"/>
    <w:rsid w:val="0062569A"/>
    <w:rsid w:val="006267CB"/>
    <w:rsid w:val="00631562"/>
    <w:rsid w:val="0063161C"/>
    <w:rsid w:val="00631FE4"/>
    <w:rsid w:val="0063616E"/>
    <w:rsid w:val="00640176"/>
    <w:rsid w:val="00643289"/>
    <w:rsid w:val="0064330F"/>
    <w:rsid w:val="0064557C"/>
    <w:rsid w:val="00646930"/>
    <w:rsid w:val="00647EE2"/>
    <w:rsid w:val="00651FED"/>
    <w:rsid w:val="006522A1"/>
    <w:rsid w:val="0065416B"/>
    <w:rsid w:val="00654586"/>
    <w:rsid w:val="00660268"/>
    <w:rsid w:val="0066030E"/>
    <w:rsid w:val="00661442"/>
    <w:rsid w:val="00661714"/>
    <w:rsid w:val="00662B60"/>
    <w:rsid w:val="00663D6A"/>
    <w:rsid w:val="0066547B"/>
    <w:rsid w:val="00666ECD"/>
    <w:rsid w:val="006676DC"/>
    <w:rsid w:val="00667FAE"/>
    <w:rsid w:val="00670F10"/>
    <w:rsid w:val="0067268F"/>
    <w:rsid w:val="006729C3"/>
    <w:rsid w:val="00673953"/>
    <w:rsid w:val="00674AD7"/>
    <w:rsid w:val="00674EA5"/>
    <w:rsid w:val="0067521F"/>
    <w:rsid w:val="00676013"/>
    <w:rsid w:val="0068129E"/>
    <w:rsid w:val="006821E9"/>
    <w:rsid w:val="0068338C"/>
    <w:rsid w:val="00695D92"/>
    <w:rsid w:val="006A1BAA"/>
    <w:rsid w:val="006A2D95"/>
    <w:rsid w:val="006A3527"/>
    <w:rsid w:val="006A4A2C"/>
    <w:rsid w:val="006A6F9F"/>
    <w:rsid w:val="006B0D8B"/>
    <w:rsid w:val="006B15C1"/>
    <w:rsid w:val="006B6D38"/>
    <w:rsid w:val="006B7AA6"/>
    <w:rsid w:val="006C0B89"/>
    <w:rsid w:val="006C1873"/>
    <w:rsid w:val="006C2FB4"/>
    <w:rsid w:val="006C2FC9"/>
    <w:rsid w:val="006C3C20"/>
    <w:rsid w:val="006C3EC7"/>
    <w:rsid w:val="006C4B57"/>
    <w:rsid w:val="006C654F"/>
    <w:rsid w:val="006D01BD"/>
    <w:rsid w:val="006D1A65"/>
    <w:rsid w:val="006D4867"/>
    <w:rsid w:val="006D4E29"/>
    <w:rsid w:val="006D5E20"/>
    <w:rsid w:val="006E0708"/>
    <w:rsid w:val="006E1013"/>
    <w:rsid w:val="006E104F"/>
    <w:rsid w:val="006E142D"/>
    <w:rsid w:val="006E1896"/>
    <w:rsid w:val="006F1410"/>
    <w:rsid w:val="006F4C33"/>
    <w:rsid w:val="006F65A3"/>
    <w:rsid w:val="00703CC3"/>
    <w:rsid w:val="007053F9"/>
    <w:rsid w:val="00705BB6"/>
    <w:rsid w:val="00706401"/>
    <w:rsid w:val="00707538"/>
    <w:rsid w:val="007103E4"/>
    <w:rsid w:val="00716529"/>
    <w:rsid w:val="00717C97"/>
    <w:rsid w:val="00717E81"/>
    <w:rsid w:val="00721178"/>
    <w:rsid w:val="007244B1"/>
    <w:rsid w:val="00724E78"/>
    <w:rsid w:val="00725030"/>
    <w:rsid w:val="0072534B"/>
    <w:rsid w:val="00726457"/>
    <w:rsid w:val="00726CBF"/>
    <w:rsid w:val="007272C6"/>
    <w:rsid w:val="00727F4C"/>
    <w:rsid w:val="00733032"/>
    <w:rsid w:val="007336FC"/>
    <w:rsid w:val="007338D0"/>
    <w:rsid w:val="00741BF6"/>
    <w:rsid w:val="007423CE"/>
    <w:rsid w:val="007437E4"/>
    <w:rsid w:val="007442B2"/>
    <w:rsid w:val="00744693"/>
    <w:rsid w:val="00744E4F"/>
    <w:rsid w:val="0074741B"/>
    <w:rsid w:val="00750387"/>
    <w:rsid w:val="00751871"/>
    <w:rsid w:val="00753084"/>
    <w:rsid w:val="00753A9A"/>
    <w:rsid w:val="00756214"/>
    <w:rsid w:val="007614CA"/>
    <w:rsid w:val="00761881"/>
    <w:rsid w:val="0076193B"/>
    <w:rsid w:val="00761C8F"/>
    <w:rsid w:val="00762212"/>
    <w:rsid w:val="00765590"/>
    <w:rsid w:val="007657E8"/>
    <w:rsid w:val="00765C4F"/>
    <w:rsid w:val="0077150C"/>
    <w:rsid w:val="00774BB0"/>
    <w:rsid w:val="00774C64"/>
    <w:rsid w:val="007765DC"/>
    <w:rsid w:val="00777B57"/>
    <w:rsid w:val="0078204A"/>
    <w:rsid w:val="0078324D"/>
    <w:rsid w:val="007873D0"/>
    <w:rsid w:val="00795074"/>
    <w:rsid w:val="007A027B"/>
    <w:rsid w:val="007A59E7"/>
    <w:rsid w:val="007B0136"/>
    <w:rsid w:val="007B0BB8"/>
    <w:rsid w:val="007B0C70"/>
    <w:rsid w:val="007B1D3B"/>
    <w:rsid w:val="007B3793"/>
    <w:rsid w:val="007B59A8"/>
    <w:rsid w:val="007C1433"/>
    <w:rsid w:val="007C3D4C"/>
    <w:rsid w:val="007C58E9"/>
    <w:rsid w:val="007C5D62"/>
    <w:rsid w:val="007C6367"/>
    <w:rsid w:val="007C6FCE"/>
    <w:rsid w:val="007D29A8"/>
    <w:rsid w:val="007D4A30"/>
    <w:rsid w:val="007D6CF8"/>
    <w:rsid w:val="007E2A9D"/>
    <w:rsid w:val="007E4868"/>
    <w:rsid w:val="007E50F5"/>
    <w:rsid w:val="007E5BD0"/>
    <w:rsid w:val="007E6C98"/>
    <w:rsid w:val="007E6E6B"/>
    <w:rsid w:val="007F1611"/>
    <w:rsid w:val="007F250A"/>
    <w:rsid w:val="007F2B95"/>
    <w:rsid w:val="007F536F"/>
    <w:rsid w:val="007F637C"/>
    <w:rsid w:val="007F69E1"/>
    <w:rsid w:val="007F7C74"/>
    <w:rsid w:val="0080021E"/>
    <w:rsid w:val="00803049"/>
    <w:rsid w:val="00805322"/>
    <w:rsid w:val="00805CC8"/>
    <w:rsid w:val="008072BB"/>
    <w:rsid w:val="0080766F"/>
    <w:rsid w:val="0081123D"/>
    <w:rsid w:val="008133EC"/>
    <w:rsid w:val="008139DE"/>
    <w:rsid w:val="00813F10"/>
    <w:rsid w:val="00814085"/>
    <w:rsid w:val="00814A7D"/>
    <w:rsid w:val="00815438"/>
    <w:rsid w:val="00816B10"/>
    <w:rsid w:val="008240C0"/>
    <w:rsid w:val="00826326"/>
    <w:rsid w:val="008273AC"/>
    <w:rsid w:val="00827E52"/>
    <w:rsid w:val="008300C9"/>
    <w:rsid w:val="0083144E"/>
    <w:rsid w:val="00833B30"/>
    <w:rsid w:val="0083455D"/>
    <w:rsid w:val="008376F6"/>
    <w:rsid w:val="008377D6"/>
    <w:rsid w:val="008379F7"/>
    <w:rsid w:val="00837F5E"/>
    <w:rsid w:val="008400D4"/>
    <w:rsid w:val="008411B6"/>
    <w:rsid w:val="00847036"/>
    <w:rsid w:val="0085334C"/>
    <w:rsid w:val="00853C16"/>
    <w:rsid w:val="00854646"/>
    <w:rsid w:val="00854F33"/>
    <w:rsid w:val="008563C1"/>
    <w:rsid w:val="00856726"/>
    <w:rsid w:val="00856779"/>
    <w:rsid w:val="0085737A"/>
    <w:rsid w:val="00857C9C"/>
    <w:rsid w:val="0086065D"/>
    <w:rsid w:val="008636A8"/>
    <w:rsid w:val="0086672C"/>
    <w:rsid w:val="00870EF3"/>
    <w:rsid w:val="008710A7"/>
    <w:rsid w:val="0087675D"/>
    <w:rsid w:val="00877978"/>
    <w:rsid w:val="00877EC1"/>
    <w:rsid w:val="00880D66"/>
    <w:rsid w:val="0088265B"/>
    <w:rsid w:val="0088345A"/>
    <w:rsid w:val="0088386F"/>
    <w:rsid w:val="008841D7"/>
    <w:rsid w:val="00891EF3"/>
    <w:rsid w:val="008926E2"/>
    <w:rsid w:val="00892F9C"/>
    <w:rsid w:val="0089301D"/>
    <w:rsid w:val="0089708A"/>
    <w:rsid w:val="008A0000"/>
    <w:rsid w:val="008A0277"/>
    <w:rsid w:val="008A1918"/>
    <w:rsid w:val="008A36A8"/>
    <w:rsid w:val="008A43EF"/>
    <w:rsid w:val="008A6068"/>
    <w:rsid w:val="008A62AA"/>
    <w:rsid w:val="008B1957"/>
    <w:rsid w:val="008B3F61"/>
    <w:rsid w:val="008B4D54"/>
    <w:rsid w:val="008B521C"/>
    <w:rsid w:val="008C09AB"/>
    <w:rsid w:val="008C0E89"/>
    <w:rsid w:val="008C32AB"/>
    <w:rsid w:val="008C3BD8"/>
    <w:rsid w:val="008C4DD8"/>
    <w:rsid w:val="008C7382"/>
    <w:rsid w:val="008D195F"/>
    <w:rsid w:val="008D35F0"/>
    <w:rsid w:val="008D5EEB"/>
    <w:rsid w:val="008D7AD9"/>
    <w:rsid w:val="008E0A3B"/>
    <w:rsid w:val="008E2159"/>
    <w:rsid w:val="008E25F9"/>
    <w:rsid w:val="008E2695"/>
    <w:rsid w:val="008E3F67"/>
    <w:rsid w:val="008E4A39"/>
    <w:rsid w:val="008E58E7"/>
    <w:rsid w:val="008F0063"/>
    <w:rsid w:val="008F14C9"/>
    <w:rsid w:val="008F317A"/>
    <w:rsid w:val="008F6D2C"/>
    <w:rsid w:val="008F7486"/>
    <w:rsid w:val="00900CF8"/>
    <w:rsid w:val="00901353"/>
    <w:rsid w:val="00901F30"/>
    <w:rsid w:val="00902120"/>
    <w:rsid w:val="0090214D"/>
    <w:rsid w:val="00903750"/>
    <w:rsid w:val="0090384D"/>
    <w:rsid w:val="0090657A"/>
    <w:rsid w:val="00914101"/>
    <w:rsid w:val="00921884"/>
    <w:rsid w:val="009221C8"/>
    <w:rsid w:val="00930A8D"/>
    <w:rsid w:val="00930AE9"/>
    <w:rsid w:val="0093249F"/>
    <w:rsid w:val="00932E2F"/>
    <w:rsid w:val="00933C8B"/>
    <w:rsid w:val="00937BA9"/>
    <w:rsid w:val="00940093"/>
    <w:rsid w:val="009403AF"/>
    <w:rsid w:val="009424D2"/>
    <w:rsid w:val="00951E6D"/>
    <w:rsid w:val="009539CE"/>
    <w:rsid w:val="0095575D"/>
    <w:rsid w:val="00955A98"/>
    <w:rsid w:val="00956E7A"/>
    <w:rsid w:val="00960B77"/>
    <w:rsid w:val="00961797"/>
    <w:rsid w:val="00961C43"/>
    <w:rsid w:val="00961F68"/>
    <w:rsid w:val="00962715"/>
    <w:rsid w:val="00964F91"/>
    <w:rsid w:val="0097176A"/>
    <w:rsid w:val="0097192B"/>
    <w:rsid w:val="00971B1B"/>
    <w:rsid w:val="00971E3E"/>
    <w:rsid w:val="00973808"/>
    <w:rsid w:val="00975B23"/>
    <w:rsid w:val="0097632B"/>
    <w:rsid w:val="00982AFC"/>
    <w:rsid w:val="00983AC3"/>
    <w:rsid w:val="00983EE6"/>
    <w:rsid w:val="00984383"/>
    <w:rsid w:val="00984DA2"/>
    <w:rsid w:val="00986118"/>
    <w:rsid w:val="00986AFB"/>
    <w:rsid w:val="00995012"/>
    <w:rsid w:val="00996D47"/>
    <w:rsid w:val="009A205C"/>
    <w:rsid w:val="009A44CD"/>
    <w:rsid w:val="009A6F9E"/>
    <w:rsid w:val="009A7AE2"/>
    <w:rsid w:val="009B0B16"/>
    <w:rsid w:val="009B1D87"/>
    <w:rsid w:val="009B33CE"/>
    <w:rsid w:val="009B41FF"/>
    <w:rsid w:val="009B6AD6"/>
    <w:rsid w:val="009C0107"/>
    <w:rsid w:val="009C0D2F"/>
    <w:rsid w:val="009C3317"/>
    <w:rsid w:val="009C40DC"/>
    <w:rsid w:val="009C62E3"/>
    <w:rsid w:val="009C6BDD"/>
    <w:rsid w:val="009C7512"/>
    <w:rsid w:val="009C7AFE"/>
    <w:rsid w:val="009D1BE2"/>
    <w:rsid w:val="009D440E"/>
    <w:rsid w:val="009D44BA"/>
    <w:rsid w:val="009E1A3D"/>
    <w:rsid w:val="009E1D88"/>
    <w:rsid w:val="009E59E8"/>
    <w:rsid w:val="009F009D"/>
    <w:rsid w:val="009F35E7"/>
    <w:rsid w:val="009F3AED"/>
    <w:rsid w:val="009F5499"/>
    <w:rsid w:val="009F5848"/>
    <w:rsid w:val="009F7D1A"/>
    <w:rsid w:val="00A00FBF"/>
    <w:rsid w:val="00A010D0"/>
    <w:rsid w:val="00A021B8"/>
    <w:rsid w:val="00A0230A"/>
    <w:rsid w:val="00A025A0"/>
    <w:rsid w:val="00A02E7F"/>
    <w:rsid w:val="00A02EF4"/>
    <w:rsid w:val="00A11A19"/>
    <w:rsid w:val="00A14CD3"/>
    <w:rsid w:val="00A1704E"/>
    <w:rsid w:val="00A25B40"/>
    <w:rsid w:val="00A2654B"/>
    <w:rsid w:val="00A26AF8"/>
    <w:rsid w:val="00A27F8C"/>
    <w:rsid w:val="00A32B88"/>
    <w:rsid w:val="00A33AB8"/>
    <w:rsid w:val="00A35664"/>
    <w:rsid w:val="00A364BA"/>
    <w:rsid w:val="00A40958"/>
    <w:rsid w:val="00A4189A"/>
    <w:rsid w:val="00A41904"/>
    <w:rsid w:val="00A41D2D"/>
    <w:rsid w:val="00A441F8"/>
    <w:rsid w:val="00A448DD"/>
    <w:rsid w:val="00A46325"/>
    <w:rsid w:val="00A46551"/>
    <w:rsid w:val="00A519FD"/>
    <w:rsid w:val="00A55F5D"/>
    <w:rsid w:val="00A56CEE"/>
    <w:rsid w:val="00A57297"/>
    <w:rsid w:val="00A60AD7"/>
    <w:rsid w:val="00A6122E"/>
    <w:rsid w:val="00A61453"/>
    <w:rsid w:val="00A63917"/>
    <w:rsid w:val="00A639F5"/>
    <w:rsid w:val="00A64376"/>
    <w:rsid w:val="00A65EBF"/>
    <w:rsid w:val="00A66295"/>
    <w:rsid w:val="00A67BB9"/>
    <w:rsid w:val="00A67FE1"/>
    <w:rsid w:val="00A72B28"/>
    <w:rsid w:val="00A72B90"/>
    <w:rsid w:val="00A7509B"/>
    <w:rsid w:val="00A76C09"/>
    <w:rsid w:val="00A77A61"/>
    <w:rsid w:val="00A80512"/>
    <w:rsid w:val="00A80C78"/>
    <w:rsid w:val="00A83D9D"/>
    <w:rsid w:val="00A913D2"/>
    <w:rsid w:val="00A92567"/>
    <w:rsid w:val="00A92964"/>
    <w:rsid w:val="00A93A7A"/>
    <w:rsid w:val="00A93FF7"/>
    <w:rsid w:val="00A9479E"/>
    <w:rsid w:val="00A96BDB"/>
    <w:rsid w:val="00A97309"/>
    <w:rsid w:val="00A97C0B"/>
    <w:rsid w:val="00AA43FD"/>
    <w:rsid w:val="00AA6D80"/>
    <w:rsid w:val="00AA6EC1"/>
    <w:rsid w:val="00AB0F20"/>
    <w:rsid w:val="00AB200E"/>
    <w:rsid w:val="00AB3B57"/>
    <w:rsid w:val="00AB3B6E"/>
    <w:rsid w:val="00AB5D36"/>
    <w:rsid w:val="00AB70DC"/>
    <w:rsid w:val="00AC35E8"/>
    <w:rsid w:val="00AC4211"/>
    <w:rsid w:val="00AC5F19"/>
    <w:rsid w:val="00AD189D"/>
    <w:rsid w:val="00AD3E76"/>
    <w:rsid w:val="00AD4D23"/>
    <w:rsid w:val="00AD4EF8"/>
    <w:rsid w:val="00AD61A3"/>
    <w:rsid w:val="00AD6530"/>
    <w:rsid w:val="00AE049A"/>
    <w:rsid w:val="00AE3429"/>
    <w:rsid w:val="00AE56A3"/>
    <w:rsid w:val="00AE5979"/>
    <w:rsid w:val="00AE625A"/>
    <w:rsid w:val="00AE67D7"/>
    <w:rsid w:val="00AE75DE"/>
    <w:rsid w:val="00AE7BA1"/>
    <w:rsid w:val="00AF0603"/>
    <w:rsid w:val="00AF4326"/>
    <w:rsid w:val="00AF6326"/>
    <w:rsid w:val="00B01050"/>
    <w:rsid w:val="00B01C2C"/>
    <w:rsid w:val="00B03BD3"/>
    <w:rsid w:val="00B03EC5"/>
    <w:rsid w:val="00B04ACD"/>
    <w:rsid w:val="00B05667"/>
    <w:rsid w:val="00B07021"/>
    <w:rsid w:val="00B11854"/>
    <w:rsid w:val="00B1200B"/>
    <w:rsid w:val="00B12316"/>
    <w:rsid w:val="00B15B13"/>
    <w:rsid w:val="00B16B85"/>
    <w:rsid w:val="00B34CEA"/>
    <w:rsid w:val="00B35389"/>
    <w:rsid w:val="00B37710"/>
    <w:rsid w:val="00B40455"/>
    <w:rsid w:val="00B409B7"/>
    <w:rsid w:val="00B41EC2"/>
    <w:rsid w:val="00B424E0"/>
    <w:rsid w:val="00B43387"/>
    <w:rsid w:val="00B44AFC"/>
    <w:rsid w:val="00B504D4"/>
    <w:rsid w:val="00B50A81"/>
    <w:rsid w:val="00B50B5D"/>
    <w:rsid w:val="00B5109A"/>
    <w:rsid w:val="00B51399"/>
    <w:rsid w:val="00B51FAB"/>
    <w:rsid w:val="00B5597E"/>
    <w:rsid w:val="00B565FD"/>
    <w:rsid w:val="00B602C9"/>
    <w:rsid w:val="00B61EB9"/>
    <w:rsid w:val="00B624DE"/>
    <w:rsid w:val="00B63344"/>
    <w:rsid w:val="00B63BF4"/>
    <w:rsid w:val="00B6504F"/>
    <w:rsid w:val="00B6568B"/>
    <w:rsid w:val="00B65B06"/>
    <w:rsid w:val="00B65E5A"/>
    <w:rsid w:val="00B6724E"/>
    <w:rsid w:val="00B70013"/>
    <w:rsid w:val="00B70CAD"/>
    <w:rsid w:val="00B73311"/>
    <w:rsid w:val="00B74C32"/>
    <w:rsid w:val="00B7698E"/>
    <w:rsid w:val="00B76BF0"/>
    <w:rsid w:val="00B81B7F"/>
    <w:rsid w:val="00B82029"/>
    <w:rsid w:val="00B824B1"/>
    <w:rsid w:val="00B82D54"/>
    <w:rsid w:val="00B86CEE"/>
    <w:rsid w:val="00B92F9E"/>
    <w:rsid w:val="00B94603"/>
    <w:rsid w:val="00B94C1F"/>
    <w:rsid w:val="00B94FCF"/>
    <w:rsid w:val="00B95A47"/>
    <w:rsid w:val="00B95D07"/>
    <w:rsid w:val="00BA15F8"/>
    <w:rsid w:val="00BA1A15"/>
    <w:rsid w:val="00BA2887"/>
    <w:rsid w:val="00BA34D7"/>
    <w:rsid w:val="00BA5830"/>
    <w:rsid w:val="00BA678E"/>
    <w:rsid w:val="00BA7238"/>
    <w:rsid w:val="00BA76A7"/>
    <w:rsid w:val="00BB0EAE"/>
    <w:rsid w:val="00BB285D"/>
    <w:rsid w:val="00BB385F"/>
    <w:rsid w:val="00BC0AE1"/>
    <w:rsid w:val="00BC12C3"/>
    <w:rsid w:val="00BC2B4E"/>
    <w:rsid w:val="00BC5B73"/>
    <w:rsid w:val="00BC5CC0"/>
    <w:rsid w:val="00BD4226"/>
    <w:rsid w:val="00BD5185"/>
    <w:rsid w:val="00BD60B5"/>
    <w:rsid w:val="00BD7A99"/>
    <w:rsid w:val="00BE11F4"/>
    <w:rsid w:val="00BF1C44"/>
    <w:rsid w:val="00BF3A55"/>
    <w:rsid w:val="00C003AE"/>
    <w:rsid w:val="00C06346"/>
    <w:rsid w:val="00C077C6"/>
    <w:rsid w:val="00C077D1"/>
    <w:rsid w:val="00C12365"/>
    <w:rsid w:val="00C130E9"/>
    <w:rsid w:val="00C135E5"/>
    <w:rsid w:val="00C13E6F"/>
    <w:rsid w:val="00C16414"/>
    <w:rsid w:val="00C20098"/>
    <w:rsid w:val="00C21093"/>
    <w:rsid w:val="00C2117F"/>
    <w:rsid w:val="00C254F7"/>
    <w:rsid w:val="00C26697"/>
    <w:rsid w:val="00C266F7"/>
    <w:rsid w:val="00C35D40"/>
    <w:rsid w:val="00C36A5F"/>
    <w:rsid w:val="00C40209"/>
    <w:rsid w:val="00C403A0"/>
    <w:rsid w:val="00C40B06"/>
    <w:rsid w:val="00C450DB"/>
    <w:rsid w:val="00C46D9E"/>
    <w:rsid w:val="00C507A5"/>
    <w:rsid w:val="00C51218"/>
    <w:rsid w:val="00C519CC"/>
    <w:rsid w:val="00C52867"/>
    <w:rsid w:val="00C53D2E"/>
    <w:rsid w:val="00C54647"/>
    <w:rsid w:val="00C5654B"/>
    <w:rsid w:val="00C56680"/>
    <w:rsid w:val="00C60AE3"/>
    <w:rsid w:val="00C60F63"/>
    <w:rsid w:val="00C62FCA"/>
    <w:rsid w:val="00C639B2"/>
    <w:rsid w:val="00C644CB"/>
    <w:rsid w:val="00C64A83"/>
    <w:rsid w:val="00C7069F"/>
    <w:rsid w:val="00C74B75"/>
    <w:rsid w:val="00C758CB"/>
    <w:rsid w:val="00C7663B"/>
    <w:rsid w:val="00C8037A"/>
    <w:rsid w:val="00C81717"/>
    <w:rsid w:val="00C81A86"/>
    <w:rsid w:val="00C86136"/>
    <w:rsid w:val="00C869C4"/>
    <w:rsid w:val="00C86BA4"/>
    <w:rsid w:val="00C9235A"/>
    <w:rsid w:val="00C96F17"/>
    <w:rsid w:val="00C971C5"/>
    <w:rsid w:val="00C97382"/>
    <w:rsid w:val="00C97A7F"/>
    <w:rsid w:val="00CA1413"/>
    <w:rsid w:val="00CA1701"/>
    <w:rsid w:val="00CA2096"/>
    <w:rsid w:val="00CA2E00"/>
    <w:rsid w:val="00CA2E60"/>
    <w:rsid w:val="00CA7B08"/>
    <w:rsid w:val="00CB1789"/>
    <w:rsid w:val="00CC106A"/>
    <w:rsid w:val="00CC2182"/>
    <w:rsid w:val="00CC2924"/>
    <w:rsid w:val="00CC3392"/>
    <w:rsid w:val="00CD38BE"/>
    <w:rsid w:val="00CD3CAB"/>
    <w:rsid w:val="00CD5942"/>
    <w:rsid w:val="00CD5A1F"/>
    <w:rsid w:val="00CD5DCB"/>
    <w:rsid w:val="00CE387A"/>
    <w:rsid w:val="00CE4821"/>
    <w:rsid w:val="00CE6B3B"/>
    <w:rsid w:val="00CF04D5"/>
    <w:rsid w:val="00CF3936"/>
    <w:rsid w:val="00CF4389"/>
    <w:rsid w:val="00D07EC2"/>
    <w:rsid w:val="00D108D1"/>
    <w:rsid w:val="00D17484"/>
    <w:rsid w:val="00D17CEB"/>
    <w:rsid w:val="00D203FB"/>
    <w:rsid w:val="00D205AC"/>
    <w:rsid w:val="00D21A2C"/>
    <w:rsid w:val="00D22E4F"/>
    <w:rsid w:val="00D2318E"/>
    <w:rsid w:val="00D23E64"/>
    <w:rsid w:val="00D24764"/>
    <w:rsid w:val="00D277E8"/>
    <w:rsid w:val="00D27BD2"/>
    <w:rsid w:val="00D30CDE"/>
    <w:rsid w:val="00D330F6"/>
    <w:rsid w:val="00D373F8"/>
    <w:rsid w:val="00D40822"/>
    <w:rsid w:val="00D45EF5"/>
    <w:rsid w:val="00D515EB"/>
    <w:rsid w:val="00D51673"/>
    <w:rsid w:val="00D61B89"/>
    <w:rsid w:val="00D62631"/>
    <w:rsid w:val="00D62BBC"/>
    <w:rsid w:val="00D63463"/>
    <w:rsid w:val="00D71F5D"/>
    <w:rsid w:val="00D726C2"/>
    <w:rsid w:val="00D728A7"/>
    <w:rsid w:val="00D72D53"/>
    <w:rsid w:val="00D743A8"/>
    <w:rsid w:val="00D75DC9"/>
    <w:rsid w:val="00D77713"/>
    <w:rsid w:val="00D77718"/>
    <w:rsid w:val="00D77F22"/>
    <w:rsid w:val="00D80732"/>
    <w:rsid w:val="00D810DC"/>
    <w:rsid w:val="00D812BD"/>
    <w:rsid w:val="00D8182F"/>
    <w:rsid w:val="00D83033"/>
    <w:rsid w:val="00D84C85"/>
    <w:rsid w:val="00D8719D"/>
    <w:rsid w:val="00D90C62"/>
    <w:rsid w:val="00D9125C"/>
    <w:rsid w:val="00D91585"/>
    <w:rsid w:val="00D91670"/>
    <w:rsid w:val="00D91E20"/>
    <w:rsid w:val="00D93332"/>
    <w:rsid w:val="00D93769"/>
    <w:rsid w:val="00D95D08"/>
    <w:rsid w:val="00D96B2D"/>
    <w:rsid w:val="00D974CB"/>
    <w:rsid w:val="00DA48EB"/>
    <w:rsid w:val="00DA6416"/>
    <w:rsid w:val="00DA66A8"/>
    <w:rsid w:val="00DA6CB4"/>
    <w:rsid w:val="00DB5892"/>
    <w:rsid w:val="00DC0924"/>
    <w:rsid w:val="00DC0979"/>
    <w:rsid w:val="00DC57AF"/>
    <w:rsid w:val="00DC5FDA"/>
    <w:rsid w:val="00DC60F0"/>
    <w:rsid w:val="00DD1A3D"/>
    <w:rsid w:val="00DD3AF6"/>
    <w:rsid w:val="00DD78EC"/>
    <w:rsid w:val="00DE5547"/>
    <w:rsid w:val="00DE739C"/>
    <w:rsid w:val="00DF7BEF"/>
    <w:rsid w:val="00E04336"/>
    <w:rsid w:val="00E05A87"/>
    <w:rsid w:val="00E05BEF"/>
    <w:rsid w:val="00E07417"/>
    <w:rsid w:val="00E078A7"/>
    <w:rsid w:val="00E07E3A"/>
    <w:rsid w:val="00E1052B"/>
    <w:rsid w:val="00E11EA2"/>
    <w:rsid w:val="00E130EE"/>
    <w:rsid w:val="00E13234"/>
    <w:rsid w:val="00E17ED6"/>
    <w:rsid w:val="00E2103E"/>
    <w:rsid w:val="00E23865"/>
    <w:rsid w:val="00E25B29"/>
    <w:rsid w:val="00E27237"/>
    <w:rsid w:val="00E27417"/>
    <w:rsid w:val="00E31DF6"/>
    <w:rsid w:val="00E33A5F"/>
    <w:rsid w:val="00E33FD0"/>
    <w:rsid w:val="00E34074"/>
    <w:rsid w:val="00E40459"/>
    <w:rsid w:val="00E43658"/>
    <w:rsid w:val="00E44595"/>
    <w:rsid w:val="00E455A2"/>
    <w:rsid w:val="00E46734"/>
    <w:rsid w:val="00E47464"/>
    <w:rsid w:val="00E50F03"/>
    <w:rsid w:val="00E5379A"/>
    <w:rsid w:val="00E57851"/>
    <w:rsid w:val="00E66D6E"/>
    <w:rsid w:val="00E7180B"/>
    <w:rsid w:val="00E71F16"/>
    <w:rsid w:val="00E741EF"/>
    <w:rsid w:val="00E77650"/>
    <w:rsid w:val="00E77B2D"/>
    <w:rsid w:val="00E85A52"/>
    <w:rsid w:val="00E86514"/>
    <w:rsid w:val="00E87B47"/>
    <w:rsid w:val="00E91307"/>
    <w:rsid w:val="00E93562"/>
    <w:rsid w:val="00E946AA"/>
    <w:rsid w:val="00E970C1"/>
    <w:rsid w:val="00E97F29"/>
    <w:rsid w:val="00EA0C30"/>
    <w:rsid w:val="00EA37BA"/>
    <w:rsid w:val="00EA4524"/>
    <w:rsid w:val="00EA624F"/>
    <w:rsid w:val="00EA686D"/>
    <w:rsid w:val="00EB345A"/>
    <w:rsid w:val="00EB70EE"/>
    <w:rsid w:val="00EB751E"/>
    <w:rsid w:val="00EC017F"/>
    <w:rsid w:val="00EC0A4E"/>
    <w:rsid w:val="00EC23A9"/>
    <w:rsid w:val="00EC24FD"/>
    <w:rsid w:val="00EC69EF"/>
    <w:rsid w:val="00EC770C"/>
    <w:rsid w:val="00ED332A"/>
    <w:rsid w:val="00ED4068"/>
    <w:rsid w:val="00ED4200"/>
    <w:rsid w:val="00ED458B"/>
    <w:rsid w:val="00EE1B39"/>
    <w:rsid w:val="00EE1EC5"/>
    <w:rsid w:val="00EE6BEB"/>
    <w:rsid w:val="00EE7E46"/>
    <w:rsid w:val="00EF53AB"/>
    <w:rsid w:val="00EF55C4"/>
    <w:rsid w:val="00EF5ADF"/>
    <w:rsid w:val="00F01459"/>
    <w:rsid w:val="00F07018"/>
    <w:rsid w:val="00F076F9"/>
    <w:rsid w:val="00F15089"/>
    <w:rsid w:val="00F152FC"/>
    <w:rsid w:val="00F204BF"/>
    <w:rsid w:val="00F209FC"/>
    <w:rsid w:val="00F2216F"/>
    <w:rsid w:val="00F23134"/>
    <w:rsid w:val="00F23EEB"/>
    <w:rsid w:val="00F23FAB"/>
    <w:rsid w:val="00F26208"/>
    <w:rsid w:val="00F306F5"/>
    <w:rsid w:val="00F33044"/>
    <w:rsid w:val="00F344F8"/>
    <w:rsid w:val="00F35310"/>
    <w:rsid w:val="00F35320"/>
    <w:rsid w:val="00F3564C"/>
    <w:rsid w:val="00F4009A"/>
    <w:rsid w:val="00F42815"/>
    <w:rsid w:val="00F44FF2"/>
    <w:rsid w:val="00F467F2"/>
    <w:rsid w:val="00F473B5"/>
    <w:rsid w:val="00F51C65"/>
    <w:rsid w:val="00F60381"/>
    <w:rsid w:val="00F6312F"/>
    <w:rsid w:val="00F66276"/>
    <w:rsid w:val="00F67DE3"/>
    <w:rsid w:val="00F707CA"/>
    <w:rsid w:val="00F70CF2"/>
    <w:rsid w:val="00F72108"/>
    <w:rsid w:val="00F725DC"/>
    <w:rsid w:val="00F72EA7"/>
    <w:rsid w:val="00F7572C"/>
    <w:rsid w:val="00F764E3"/>
    <w:rsid w:val="00F76B59"/>
    <w:rsid w:val="00F77435"/>
    <w:rsid w:val="00F777BB"/>
    <w:rsid w:val="00F77E17"/>
    <w:rsid w:val="00F80612"/>
    <w:rsid w:val="00F83ED4"/>
    <w:rsid w:val="00F8609D"/>
    <w:rsid w:val="00F92FF2"/>
    <w:rsid w:val="00F9371A"/>
    <w:rsid w:val="00F94BBA"/>
    <w:rsid w:val="00F96C31"/>
    <w:rsid w:val="00F96E79"/>
    <w:rsid w:val="00F974FE"/>
    <w:rsid w:val="00FA0015"/>
    <w:rsid w:val="00FA09CB"/>
    <w:rsid w:val="00FA29A6"/>
    <w:rsid w:val="00FA336B"/>
    <w:rsid w:val="00FA389A"/>
    <w:rsid w:val="00FA3B13"/>
    <w:rsid w:val="00FA5E4D"/>
    <w:rsid w:val="00FB0D09"/>
    <w:rsid w:val="00FB333B"/>
    <w:rsid w:val="00FB417B"/>
    <w:rsid w:val="00FB5678"/>
    <w:rsid w:val="00FB5776"/>
    <w:rsid w:val="00FB71FF"/>
    <w:rsid w:val="00FB7B3E"/>
    <w:rsid w:val="00FC2417"/>
    <w:rsid w:val="00FC3958"/>
    <w:rsid w:val="00FC556D"/>
    <w:rsid w:val="00FC7518"/>
    <w:rsid w:val="00FD0B94"/>
    <w:rsid w:val="00FD4096"/>
    <w:rsid w:val="00FD4A54"/>
    <w:rsid w:val="00FD7BA1"/>
    <w:rsid w:val="00FE1435"/>
    <w:rsid w:val="00FE27DD"/>
    <w:rsid w:val="00FE41E6"/>
    <w:rsid w:val="00FE72D9"/>
    <w:rsid w:val="00FF1662"/>
    <w:rsid w:val="00FF4E4E"/>
    <w:rsid w:val="00FF52AE"/>
    <w:rsid w:val="00FF5957"/>
    <w:rsid w:val="00FF6EE6"/>
    <w:rsid w:val="00FF7783"/>
    <w:rsid w:val="00FF7A6C"/>
    <w:rsid w:val="0ECD2AEB"/>
    <w:rsid w:val="1921915F"/>
    <w:rsid w:val="24CF317A"/>
    <w:rsid w:val="250001FD"/>
    <w:rsid w:val="50C1181E"/>
    <w:rsid w:val="54B520AB"/>
    <w:rsid w:val="54FA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69C2E"/>
  <w15:docId w15:val="{CE3A372C-9098-A144-ACAA-26EE86E4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uiPriority w:val="99"/>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link w:val="ListParagraphChar"/>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FA336B"/>
    <w:rPr>
      <w:color w:val="2B579A"/>
      <w:shd w:val="clear" w:color="auto" w:fill="E1DFDD"/>
    </w:rPr>
  </w:style>
  <w:style w:type="paragraph" w:customStyle="1" w:styleId="CCGAParatext">
    <w:name w:val="CCG A Para text"/>
    <w:basedOn w:val="NoSpacing"/>
    <w:link w:val="CCGAParatextChar"/>
    <w:qFormat/>
    <w:rsid w:val="003440D7"/>
    <w:pPr>
      <w:spacing w:after="120" w:line="276" w:lineRule="auto"/>
    </w:pPr>
    <w:rPr>
      <w:rFonts w:eastAsiaTheme="minorHAnsi" w:cstheme="minorBidi"/>
      <w:szCs w:val="22"/>
    </w:rPr>
  </w:style>
  <w:style w:type="character" w:customStyle="1" w:styleId="CCGAParatextChar">
    <w:name w:val="CCG A Para text Char"/>
    <w:basedOn w:val="DefaultParagraphFont"/>
    <w:link w:val="CCGAParatext"/>
    <w:rsid w:val="003440D7"/>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3440D7"/>
    <w:pPr>
      <w:spacing w:after="120" w:line="276" w:lineRule="auto"/>
    </w:pPr>
    <w:rPr>
      <w:rFonts w:eastAsiaTheme="minorHAnsi" w:cstheme="minorBidi"/>
      <w:b/>
      <w:color w:val="005EB8"/>
      <w:szCs w:val="22"/>
    </w:rPr>
  </w:style>
  <w:style w:type="character" w:customStyle="1" w:styleId="CCGHeader2Char">
    <w:name w:val="CCG Header 2 Char"/>
    <w:basedOn w:val="DefaultParagraphFont"/>
    <w:link w:val="CCGHeader2"/>
    <w:rsid w:val="003440D7"/>
    <w:rPr>
      <w:rFonts w:ascii="Arial" w:eastAsiaTheme="minorHAnsi" w:hAnsi="Arial" w:cstheme="minorBidi"/>
      <w:b/>
      <w:color w:val="005EB8"/>
      <w:sz w:val="24"/>
      <w:szCs w:val="22"/>
      <w:lang w:eastAsia="en-US"/>
    </w:rPr>
  </w:style>
  <w:style w:type="paragraph" w:customStyle="1" w:styleId="CCGHeader1numbered">
    <w:name w:val="CCG Header 1 numbered"/>
    <w:basedOn w:val="Normal"/>
    <w:next w:val="CCGAParatext"/>
    <w:link w:val="CCGHeader1numberedChar"/>
    <w:qFormat/>
    <w:rsid w:val="003440D7"/>
    <w:pPr>
      <w:numPr>
        <w:numId w:val="30"/>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3440D7"/>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3440D7"/>
    <w:pPr>
      <w:numPr>
        <w:ilvl w:val="1"/>
        <w:numId w:val="30"/>
      </w:numPr>
      <w:tabs>
        <w:tab w:val="num" w:pos="720"/>
        <w:tab w:val="left" w:pos="8931"/>
      </w:tabs>
      <w:spacing w:before="240"/>
      <w:ind w:left="720" w:hanging="720"/>
      <w:outlineLvl w:val="1"/>
    </w:pPr>
  </w:style>
  <w:style w:type="paragraph" w:customStyle="1" w:styleId="CCGHeader3numbered">
    <w:name w:val="CCG Header 3 numbered"/>
    <w:basedOn w:val="CCGHeader2numbered"/>
    <w:next w:val="CCGAParatext"/>
    <w:qFormat/>
    <w:rsid w:val="003440D7"/>
    <w:pPr>
      <w:numPr>
        <w:ilvl w:val="2"/>
      </w:numPr>
      <w:tabs>
        <w:tab w:val="num" w:pos="720"/>
        <w:tab w:val="left" w:pos="2058"/>
        <w:tab w:val="left" w:pos="2059"/>
      </w:tabs>
      <w:spacing w:before="0"/>
      <w:ind w:left="720" w:right="663" w:hanging="720"/>
    </w:pPr>
    <w:rPr>
      <w:b w:val="0"/>
    </w:rPr>
  </w:style>
  <w:style w:type="character" w:customStyle="1" w:styleId="ListParagraphChar">
    <w:name w:val="List Paragraph Char"/>
    <w:basedOn w:val="DefaultParagraphFont"/>
    <w:link w:val="ListParagraph"/>
    <w:uiPriority w:val="34"/>
    <w:rsid w:val="003440D7"/>
    <w:rPr>
      <w:rFonts w:ascii="Arial" w:hAnsi="Arial" w:cs="Arial"/>
      <w:sz w:val="24"/>
      <w:szCs w:val="24"/>
    </w:rPr>
  </w:style>
  <w:style w:type="character" w:customStyle="1" w:styleId="FootnoteTextChar">
    <w:name w:val="Footnote Text Char"/>
    <w:basedOn w:val="DefaultParagraphFont"/>
    <w:link w:val="FootnoteText"/>
    <w:uiPriority w:val="99"/>
    <w:semiHidden/>
    <w:rsid w:val="003440D7"/>
    <w:rPr>
      <w:rFonts w:ascii="Arial" w:hAnsi="Arial"/>
    </w:rPr>
  </w:style>
  <w:style w:type="table" w:styleId="GridTable1Light">
    <w:name w:val="Grid Table 1 Light"/>
    <w:basedOn w:val="TableNormal"/>
    <w:uiPriority w:val="46"/>
    <w:rsid w:val="003440D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3440D7"/>
    <w:rPr>
      <w:color w:val="808080"/>
    </w:rPr>
  </w:style>
  <w:style w:type="paragraph" w:styleId="NoSpacing">
    <w:name w:val="No Spacing"/>
    <w:uiPriority w:val="1"/>
    <w:qFormat/>
    <w:rsid w:val="003440D7"/>
    <w:rPr>
      <w:rFonts w:ascii="Arial" w:hAnsi="Arial"/>
      <w:sz w:val="24"/>
      <w:lang w:eastAsia="en-US"/>
    </w:rPr>
  </w:style>
  <w:style w:type="character" w:styleId="FollowedHyperlink">
    <w:name w:val="FollowedHyperlink"/>
    <w:basedOn w:val="DefaultParagraphFont"/>
    <w:semiHidden/>
    <w:unhideWhenUsed/>
    <w:rsid w:val="00344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38702536">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sandprocs@secamb.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smart\OneDrive%20-%20South%20East%20Coast%20Ambulance%20Service\caroline.smart%20(secamb.nhs.ukusersmobile)\Policy%20and%20Procedure%20templates\Policy%20and%20Procedur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6203BD5E86249B3BD841496ADAC31"/>
        <w:category>
          <w:name w:val="General"/>
          <w:gallery w:val="placeholder"/>
        </w:category>
        <w:types>
          <w:type w:val="bbPlcHdr"/>
        </w:types>
        <w:behaviors>
          <w:behavior w:val="content"/>
        </w:behaviors>
        <w:guid w:val="{08CB8855-C953-A642-BC70-4FC9DBBC5279}"/>
      </w:docPartPr>
      <w:docPartBody>
        <w:p w:rsidR="008F2050" w:rsidRDefault="008F2050" w:rsidP="008F2050">
          <w:pPr>
            <w:pStyle w:val="6136203BD5E86249B3BD841496ADAC31"/>
          </w:pPr>
          <w:r w:rsidRPr="00B94CEA">
            <w:rPr>
              <w:rStyle w:val="PlaceholderText"/>
            </w:rPr>
            <w:t>Click or tap here to enter text.</w:t>
          </w:r>
        </w:p>
      </w:docPartBody>
    </w:docPart>
    <w:docPart>
      <w:docPartPr>
        <w:name w:val="183C40D05AD31248B92E0A3E78F6C430"/>
        <w:category>
          <w:name w:val="General"/>
          <w:gallery w:val="placeholder"/>
        </w:category>
        <w:types>
          <w:type w:val="bbPlcHdr"/>
        </w:types>
        <w:behaviors>
          <w:behavior w:val="content"/>
        </w:behaviors>
        <w:guid w:val="{BFB59FB1-5432-D248-81FF-0CC70FF0C671}"/>
      </w:docPartPr>
      <w:docPartBody>
        <w:p w:rsidR="008F2050" w:rsidRDefault="008F2050" w:rsidP="008F2050">
          <w:pPr>
            <w:pStyle w:val="183C40D05AD31248B92E0A3E78F6C430"/>
          </w:pPr>
          <w:r w:rsidRPr="002A12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50"/>
    <w:rsid w:val="00186294"/>
    <w:rsid w:val="0028701C"/>
    <w:rsid w:val="0042455D"/>
    <w:rsid w:val="00552A2A"/>
    <w:rsid w:val="006C2FC9"/>
    <w:rsid w:val="008F2050"/>
    <w:rsid w:val="00901353"/>
    <w:rsid w:val="0097192B"/>
    <w:rsid w:val="00D14DD5"/>
    <w:rsid w:val="00DE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050"/>
    <w:rPr>
      <w:color w:val="808080"/>
    </w:rPr>
  </w:style>
  <w:style w:type="paragraph" w:customStyle="1" w:styleId="6136203BD5E86249B3BD841496ADAC31">
    <w:name w:val="6136203BD5E86249B3BD841496ADAC31"/>
    <w:rsid w:val="008F2050"/>
  </w:style>
  <w:style w:type="paragraph" w:customStyle="1" w:styleId="183C40D05AD31248B92E0A3E78F6C430">
    <w:name w:val="183C40D05AD31248B92E0A3E78F6C430"/>
    <w:rsid w:val="008F2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8947a1a1-11e5-4c67-8c8d-1d5d500757fd">
      <UserInfo>
        <DisplayName>Everyone except external users</DisplayName>
        <AccountId>10</AccountId>
        <AccountType/>
      </UserInfo>
      <UserInfo>
        <DisplayName>Policies and Procedures Visitors</DisplayName>
        <AccountId>4</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338EB-AC03-48D3-998B-0C843E7832A8}">
  <ds:schemaRefs>
    <ds:schemaRef ds:uri="http://schemas.openxmlformats.org/officeDocument/2006/bibliography"/>
  </ds:schemaRefs>
</ds:datastoreItem>
</file>

<file path=customXml/itemProps2.xml><?xml version="1.0" encoding="utf-8"?>
<ds:datastoreItem xmlns:ds="http://schemas.openxmlformats.org/officeDocument/2006/customXml" ds:itemID="{0A3FC709-07D5-4752-ADC1-418D951128DE}">
  <ds:schemaRefs>
    <ds:schemaRef ds:uri="http://schemas.microsoft.com/office/2006/metadata/properties"/>
    <ds:schemaRef ds:uri="8947a1a1-11e5-4c67-8c8d-1d5d500757fd"/>
    <ds:schemaRef ds:uri="aede05c1-4e65-4c98-820f-ccc718a23a3a"/>
    <ds:schemaRef ds:uri="http://schemas.microsoft.com/office/infopath/2007/PartnerControls"/>
  </ds:schemaRefs>
</ds:datastoreItem>
</file>

<file path=customXml/itemProps3.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4.xml><?xml version="1.0" encoding="utf-8"?>
<ds:datastoreItem xmlns:ds="http://schemas.openxmlformats.org/officeDocument/2006/customXml" ds:itemID="{AF58F9BE-652B-494F-8AC1-D2C610A9F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and Procedure Template</Template>
  <TotalTime>1</TotalTime>
  <Pages>27</Pages>
  <Words>6094</Words>
  <Characters>34374</Characters>
  <Application>Microsoft Office Word</Application>
  <DocSecurity>0</DocSecurity>
  <Lines>927</Lines>
  <Paragraphs>398</Paragraphs>
  <ScaleCrop>false</ScaleCrop>
  <Company>SECAMB</Company>
  <LinksUpToDate>false</LinksUpToDate>
  <CharactersWithSpaces>40335</CharactersWithSpaces>
  <SharedDoc>false</SharedDoc>
  <HLinks>
    <vt:vector size="138" baseType="variant">
      <vt:variant>
        <vt:i4>5636201</vt:i4>
      </vt:variant>
      <vt:variant>
        <vt:i4>117</vt:i4>
      </vt:variant>
      <vt:variant>
        <vt:i4>0</vt:i4>
      </vt:variant>
      <vt:variant>
        <vt:i4>5</vt:i4>
      </vt:variant>
      <vt:variant>
        <vt:lpwstr>mailto:information.governance@secamb.nhs.uk</vt:lpwstr>
      </vt:variant>
      <vt:variant>
        <vt:lpwstr/>
      </vt:variant>
      <vt:variant>
        <vt:i4>196713</vt:i4>
      </vt:variant>
      <vt:variant>
        <vt:i4>114</vt:i4>
      </vt:variant>
      <vt:variant>
        <vt:i4>0</vt:i4>
      </vt:variant>
      <vt:variant>
        <vt:i4>5</vt:i4>
      </vt:variant>
      <vt:variant>
        <vt:lpwstr>mailto:PMO@secamb.nhs.uk</vt:lpwstr>
      </vt:variant>
      <vt:variant>
        <vt:lpwstr/>
      </vt:variant>
      <vt:variant>
        <vt:i4>6553626</vt:i4>
      </vt:variant>
      <vt:variant>
        <vt:i4>111</vt:i4>
      </vt:variant>
      <vt:variant>
        <vt:i4>0</vt:i4>
      </vt:variant>
      <vt:variant>
        <vt:i4>5</vt:i4>
      </vt:variant>
      <vt:variant>
        <vt:lpwstr>mailto:inclusion@secamb.nhs.uk</vt:lpwstr>
      </vt:variant>
      <vt:variant>
        <vt:lpwstr/>
      </vt:variant>
      <vt:variant>
        <vt:i4>6488168</vt:i4>
      </vt:variant>
      <vt:variant>
        <vt:i4>108</vt:i4>
      </vt:variant>
      <vt:variant>
        <vt:i4>0</vt:i4>
      </vt:variant>
      <vt:variant>
        <vt:i4>5</vt:i4>
      </vt:variant>
      <vt:variant>
        <vt:lpwstr>http://www.secamb.nhs.uk/staff_zone4/my_secamb/equality_and_diversity/equality_impact_assessments.aspx</vt:lpwstr>
      </vt:variant>
      <vt:variant>
        <vt:lpwstr/>
      </vt:variant>
      <vt:variant>
        <vt:i4>6553626</vt:i4>
      </vt:variant>
      <vt:variant>
        <vt:i4>105</vt:i4>
      </vt:variant>
      <vt:variant>
        <vt:i4>0</vt:i4>
      </vt:variant>
      <vt:variant>
        <vt:i4>5</vt:i4>
      </vt:variant>
      <vt:variant>
        <vt:lpwstr>mailto:inclusion@secamb.nhs.uk</vt:lpwstr>
      </vt:variant>
      <vt:variant>
        <vt:lpwstr/>
      </vt:variant>
      <vt:variant>
        <vt:i4>1048629</vt:i4>
      </vt:variant>
      <vt:variant>
        <vt:i4>98</vt:i4>
      </vt:variant>
      <vt:variant>
        <vt:i4>0</vt:i4>
      </vt:variant>
      <vt:variant>
        <vt:i4>5</vt:i4>
      </vt:variant>
      <vt:variant>
        <vt:lpwstr/>
      </vt:variant>
      <vt:variant>
        <vt:lpwstr>_Toc45620373</vt:lpwstr>
      </vt:variant>
      <vt:variant>
        <vt:i4>1114165</vt:i4>
      </vt:variant>
      <vt:variant>
        <vt:i4>92</vt:i4>
      </vt:variant>
      <vt:variant>
        <vt:i4>0</vt:i4>
      </vt:variant>
      <vt:variant>
        <vt:i4>5</vt:i4>
      </vt:variant>
      <vt:variant>
        <vt:lpwstr/>
      </vt:variant>
      <vt:variant>
        <vt:lpwstr>_Toc45620372</vt:lpwstr>
      </vt:variant>
      <vt:variant>
        <vt:i4>1179701</vt:i4>
      </vt:variant>
      <vt:variant>
        <vt:i4>86</vt:i4>
      </vt:variant>
      <vt:variant>
        <vt:i4>0</vt:i4>
      </vt:variant>
      <vt:variant>
        <vt:i4>5</vt:i4>
      </vt:variant>
      <vt:variant>
        <vt:lpwstr/>
      </vt:variant>
      <vt:variant>
        <vt:lpwstr>_Toc45620371</vt:lpwstr>
      </vt:variant>
      <vt:variant>
        <vt:i4>1245237</vt:i4>
      </vt:variant>
      <vt:variant>
        <vt:i4>80</vt:i4>
      </vt:variant>
      <vt:variant>
        <vt:i4>0</vt:i4>
      </vt:variant>
      <vt:variant>
        <vt:i4>5</vt:i4>
      </vt:variant>
      <vt:variant>
        <vt:lpwstr/>
      </vt:variant>
      <vt:variant>
        <vt:lpwstr>_Toc45620370</vt:lpwstr>
      </vt:variant>
      <vt:variant>
        <vt:i4>1703988</vt:i4>
      </vt:variant>
      <vt:variant>
        <vt:i4>74</vt:i4>
      </vt:variant>
      <vt:variant>
        <vt:i4>0</vt:i4>
      </vt:variant>
      <vt:variant>
        <vt:i4>5</vt:i4>
      </vt:variant>
      <vt:variant>
        <vt:lpwstr/>
      </vt:variant>
      <vt:variant>
        <vt:lpwstr>_Toc45620369</vt:lpwstr>
      </vt:variant>
      <vt:variant>
        <vt:i4>1769524</vt:i4>
      </vt:variant>
      <vt:variant>
        <vt:i4>68</vt:i4>
      </vt:variant>
      <vt:variant>
        <vt:i4>0</vt:i4>
      </vt:variant>
      <vt:variant>
        <vt:i4>5</vt:i4>
      </vt:variant>
      <vt:variant>
        <vt:lpwstr/>
      </vt:variant>
      <vt:variant>
        <vt:lpwstr>_Toc45620368</vt:lpwstr>
      </vt:variant>
      <vt:variant>
        <vt:i4>1310772</vt:i4>
      </vt:variant>
      <vt:variant>
        <vt:i4>62</vt:i4>
      </vt:variant>
      <vt:variant>
        <vt:i4>0</vt:i4>
      </vt:variant>
      <vt:variant>
        <vt:i4>5</vt:i4>
      </vt:variant>
      <vt:variant>
        <vt:lpwstr/>
      </vt:variant>
      <vt:variant>
        <vt:lpwstr>_Toc45620367</vt:lpwstr>
      </vt:variant>
      <vt:variant>
        <vt:i4>1376308</vt:i4>
      </vt:variant>
      <vt:variant>
        <vt:i4>56</vt:i4>
      </vt:variant>
      <vt:variant>
        <vt:i4>0</vt:i4>
      </vt:variant>
      <vt:variant>
        <vt:i4>5</vt:i4>
      </vt:variant>
      <vt:variant>
        <vt:lpwstr/>
      </vt:variant>
      <vt:variant>
        <vt:lpwstr>_Toc45620366</vt:lpwstr>
      </vt:variant>
      <vt:variant>
        <vt:i4>1441844</vt:i4>
      </vt:variant>
      <vt:variant>
        <vt:i4>50</vt:i4>
      </vt:variant>
      <vt:variant>
        <vt:i4>0</vt:i4>
      </vt:variant>
      <vt:variant>
        <vt:i4>5</vt:i4>
      </vt:variant>
      <vt:variant>
        <vt:lpwstr/>
      </vt:variant>
      <vt:variant>
        <vt:lpwstr>_Toc45620365</vt:lpwstr>
      </vt:variant>
      <vt:variant>
        <vt:i4>1507380</vt:i4>
      </vt:variant>
      <vt:variant>
        <vt:i4>44</vt:i4>
      </vt:variant>
      <vt:variant>
        <vt:i4>0</vt:i4>
      </vt:variant>
      <vt:variant>
        <vt:i4>5</vt:i4>
      </vt:variant>
      <vt:variant>
        <vt:lpwstr/>
      </vt:variant>
      <vt:variant>
        <vt:lpwstr>_Toc45620364</vt:lpwstr>
      </vt:variant>
      <vt:variant>
        <vt:i4>1048628</vt:i4>
      </vt:variant>
      <vt:variant>
        <vt:i4>38</vt:i4>
      </vt:variant>
      <vt:variant>
        <vt:i4>0</vt:i4>
      </vt:variant>
      <vt:variant>
        <vt:i4>5</vt:i4>
      </vt:variant>
      <vt:variant>
        <vt:lpwstr/>
      </vt:variant>
      <vt:variant>
        <vt:lpwstr>_Toc45620363</vt:lpwstr>
      </vt:variant>
      <vt:variant>
        <vt:i4>1114164</vt:i4>
      </vt:variant>
      <vt:variant>
        <vt:i4>32</vt:i4>
      </vt:variant>
      <vt:variant>
        <vt:i4>0</vt:i4>
      </vt:variant>
      <vt:variant>
        <vt:i4>5</vt:i4>
      </vt:variant>
      <vt:variant>
        <vt:lpwstr/>
      </vt:variant>
      <vt:variant>
        <vt:lpwstr>_Toc45620362</vt:lpwstr>
      </vt:variant>
      <vt:variant>
        <vt:i4>1179700</vt:i4>
      </vt:variant>
      <vt:variant>
        <vt:i4>26</vt:i4>
      </vt:variant>
      <vt:variant>
        <vt:i4>0</vt:i4>
      </vt:variant>
      <vt:variant>
        <vt:i4>5</vt:i4>
      </vt:variant>
      <vt:variant>
        <vt:lpwstr/>
      </vt:variant>
      <vt:variant>
        <vt:lpwstr>_Toc45620361</vt:lpwstr>
      </vt:variant>
      <vt:variant>
        <vt:i4>1245236</vt:i4>
      </vt:variant>
      <vt:variant>
        <vt:i4>20</vt:i4>
      </vt:variant>
      <vt:variant>
        <vt:i4>0</vt:i4>
      </vt:variant>
      <vt:variant>
        <vt:i4>5</vt:i4>
      </vt:variant>
      <vt:variant>
        <vt:lpwstr/>
      </vt:variant>
      <vt:variant>
        <vt:lpwstr>_Toc45620360</vt:lpwstr>
      </vt:variant>
      <vt:variant>
        <vt:i4>1703991</vt:i4>
      </vt:variant>
      <vt:variant>
        <vt:i4>14</vt:i4>
      </vt:variant>
      <vt:variant>
        <vt:i4>0</vt:i4>
      </vt:variant>
      <vt:variant>
        <vt:i4>5</vt:i4>
      </vt:variant>
      <vt:variant>
        <vt:lpwstr/>
      </vt:variant>
      <vt:variant>
        <vt:lpwstr>_Toc45620359</vt:lpwstr>
      </vt:variant>
      <vt:variant>
        <vt:i4>1769527</vt:i4>
      </vt:variant>
      <vt:variant>
        <vt:i4>8</vt:i4>
      </vt:variant>
      <vt:variant>
        <vt:i4>0</vt:i4>
      </vt:variant>
      <vt:variant>
        <vt:i4>5</vt:i4>
      </vt:variant>
      <vt:variant>
        <vt:lpwstr/>
      </vt:variant>
      <vt:variant>
        <vt:lpwstr>_Toc45620358</vt:lpwstr>
      </vt:variant>
      <vt:variant>
        <vt:i4>1310775</vt:i4>
      </vt:variant>
      <vt:variant>
        <vt:i4>2</vt:i4>
      </vt:variant>
      <vt:variant>
        <vt:i4>0</vt:i4>
      </vt:variant>
      <vt:variant>
        <vt:i4>5</vt:i4>
      </vt:variant>
      <vt:variant>
        <vt:lpwstr/>
      </vt:variant>
      <vt:variant>
        <vt:lpwstr>_Toc45620357</vt:lpwstr>
      </vt:variant>
      <vt:variant>
        <vt:i4>36</vt:i4>
      </vt:variant>
      <vt:variant>
        <vt:i4>0</vt:i4>
      </vt:variant>
      <vt:variant>
        <vt:i4>0</vt:i4>
      </vt:variant>
      <vt:variant>
        <vt:i4>5</vt:i4>
      </vt:variant>
      <vt:variant>
        <vt:lpwstr>mailto:Vikki.Lewis@secamb.nhs.uk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Caroline Smart</dc:creator>
  <cp:keywords/>
  <cp:lastModifiedBy>Tom Padfield</cp:lastModifiedBy>
  <cp:revision>4</cp:revision>
  <cp:lastPrinted>2012-03-28T10:07:00Z</cp:lastPrinted>
  <dcterms:created xsi:type="dcterms:W3CDTF">2026-01-26T09:44:00Z</dcterms:created>
  <dcterms:modified xsi:type="dcterms:W3CDTF">2026-01-26T09:45:00Z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_ExtendedDescription">
    <vt:lpwstr/>
  </property>
  <property fmtid="{D5CDD505-2E9C-101B-9397-08002B2CF9AE}" pid="4" name="MediaServiceImageTags">
    <vt:lpwstr/>
  </property>
</Properties>
</file>